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64" w:rsidRDefault="00BE4A64" w:rsidP="00BE4A64">
      <w:pPr>
        <w:spacing w:line="0" w:lineRule="atLeast"/>
        <w:ind w:left="170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UDHËZIM</w:t>
      </w:r>
    </w:p>
    <w:p w:rsidR="00BE4A64" w:rsidRDefault="00BE4A64" w:rsidP="00BE4A64">
      <w:pPr>
        <w:spacing w:line="239" w:lineRule="auto"/>
        <w:ind w:left="138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 xml:space="preserve">Nr. 5, </w:t>
      </w:r>
      <w:proofErr w:type="spellStart"/>
      <w:r>
        <w:rPr>
          <w:rFonts w:ascii="Garamond" w:eastAsia="Garamond" w:hAnsi="Garamond"/>
          <w:b/>
          <w:sz w:val="24"/>
        </w:rPr>
        <w:t>datë</w:t>
      </w:r>
      <w:proofErr w:type="spellEnd"/>
      <w:r>
        <w:rPr>
          <w:rFonts w:ascii="Garamond" w:eastAsia="Garamond" w:hAnsi="Garamond"/>
          <w:b/>
          <w:sz w:val="24"/>
        </w:rPr>
        <w:t xml:space="preserve"> 9.1.2017</w:t>
      </w:r>
    </w:p>
    <w:p w:rsidR="00BE4A64" w:rsidRDefault="00BE4A64" w:rsidP="00BE4A64">
      <w:pPr>
        <w:spacing w:line="158" w:lineRule="exact"/>
        <w:rPr>
          <w:rFonts w:ascii="Times New Roman" w:eastAsia="Times New Roman" w:hAnsi="Times New Roman"/>
        </w:rPr>
      </w:pPr>
    </w:p>
    <w:p w:rsidR="00BE4A64" w:rsidRPr="00137DD9" w:rsidRDefault="00BE4A64" w:rsidP="00BE4A64">
      <w:pPr>
        <w:spacing w:line="0" w:lineRule="atLeast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PËR MËNYRËN E PËRLLOGARITJES SË </w:t>
      </w:r>
      <w:r>
        <w:rPr>
          <w:rFonts w:ascii="Garamond" w:eastAsia="Garamond" w:hAnsi="Garamond"/>
          <w:b/>
          <w:sz w:val="24"/>
        </w:rPr>
        <w:t>DISTANCAVE TË SUBJEKTEVE TË</w:t>
      </w:r>
    </w:p>
    <w:p w:rsidR="00BE4A64" w:rsidRPr="00137DD9" w:rsidRDefault="00BE4A64" w:rsidP="00BE4A64">
      <w:pPr>
        <w:spacing w:line="0" w:lineRule="atLeast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LOJËRAVE TË FATIT MIDIS TYRE DHE </w:t>
      </w:r>
      <w:r>
        <w:rPr>
          <w:rFonts w:ascii="Garamond" w:eastAsia="Garamond" w:hAnsi="Garamond"/>
          <w:b/>
          <w:sz w:val="24"/>
        </w:rPr>
        <w:t>NGA INSTITUCIONET FETARE DHE</w:t>
      </w:r>
    </w:p>
    <w:p w:rsidR="00BE4A64" w:rsidRDefault="00BE4A64" w:rsidP="00BE4A64">
      <w:pPr>
        <w:spacing w:line="239" w:lineRule="auto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ARSIMORE</w:t>
      </w:r>
    </w:p>
    <w:p w:rsidR="00BE4A64" w:rsidRDefault="00BE4A64" w:rsidP="00BE4A64">
      <w:pPr>
        <w:spacing w:line="158" w:lineRule="exact"/>
        <w:rPr>
          <w:rFonts w:ascii="Times New Roman" w:eastAsia="Times New Roman" w:hAnsi="Times New Roman"/>
        </w:rPr>
      </w:pPr>
    </w:p>
    <w:p w:rsidR="00BE4A64" w:rsidRDefault="00BE4A64" w:rsidP="00BE4A64">
      <w:pPr>
        <w:spacing w:line="0" w:lineRule="atLeast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mbështetje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102, </w:t>
      </w:r>
      <w:proofErr w:type="spellStart"/>
      <w:r>
        <w:rPr>
          <w:rFonts w:ascii="Garamond" w:eastAsia="Garamond" w:hAnsi="Garamond"/>
          <w:sz w:val="24"/>
        </w:rPr>
        <w:t>pika</w:t>
      </w:r>
      <w:proofErr w:type="spellEnd"/>
      <w:r>
        <w:rPr>
          <w:rFonts w:ascii="Garamond" w:eastAsia="Garamond" w:hAnsi="Garamond"/>
          <w:sz w:val="24"/>
        </w:rPr>
        <w:t xml:space="preserve"> 4,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Kushtetutës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zbatim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7, </w:t>
      </w:r>
      <w:proofErr w:type="spellStart"/>
      <w:r>
        <w:rPr>
          <w:rFonts w:ascii="Garamond" w:eastAsia="Garamond" w:hAnsi="Garamond"/>
          <w:sz w:val="24"/>
        </w:rPr>
        <w:t>pika</w:t>
      </w:r>
      <w:proofErr w:type="spellEnd"/>
      <w:r>
        <w:rPr>
          <w:rFonts w:ascii="Garamond" w:eastAsia="Garamond" w:hAnsi="Garamond"/>
          <w:sz w:val="24"/>
        </w:rPr>
        <w:t xml:space="preserve"> 3, </w:t>
      </w:r>
      <w:proofErr w:type="spellStart"/>
      <w:r>
        <w:rPr>
          <w:rFonts w:ascii="Garamond" w:eastAsia="Garamond" w:hAnsi="Garamond"/>
          <w:sz w:val="24"/>
        </w:rPr>
        <w:t>neni</w:t>
      </w:r>
      <w:proofErr w:type="spellEnd"/>
      <w:r>
        <w:rPr>
          <w:rFonts w:ascii="Garamond" w:eastAsia="Garamond" w:hAnsi="Garamond"/>
          <w:sz w:val="24"/>
        </w:rPr>
        <w:t xml:space="preserve"> 18, </w:t>
      </w:r>
      <w:proofErr w:type="spellStart"/>
      <w:r>
        <w:rPr>
          <w:rFonts w:ascii="Garamond" w:eastAsia="Garamond" w:hAnsi="Garamond"/>
          <w:sz w:val="24"/>
        </w:rPr>
        <w:t>pika</w:t>
      </w:r>
      <w:proofErr w:type="spellEnd"/>
      <w:r>
        <w:rPr>
          <w:rFonts w:ascii="Garamond" w:eastAsia="Garamond" w:hAnsi="Garamond"/>
          <w:sz w:val="24"/>
        </w:rPr>
        <w:t xml:space="preserve"> 5, </w:t>
      </w:r>
      <w:proofErr w:type="spellStart"/>
      <w:r>
        <w:rPr>
          <w:rFonts w:ascii="Garamond" w:eastAsia="Garamond" w:hAnsi="Garamond"/>
          <w:sz w:val="24"/>
        </w:rPr>
        <w:t>shkronja</w:t>
      </w:r>
      <w:proofErr w:type="spellEnd"/>
      <w:r>
        <w:rPr>
          <w:rFonts w:ascii="Garamond" w:eastAsia="Garamond" w:hAnsi="Garamond"/>
          <w:sz w:val="24"/>
        </w:rPr>
        <w:t xml:space="preserve"> “b”,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70, </w:t>
      </w:r>
      <w:proofErr w:type="spellStart"/>
      <w:r>
        <w:rPr>
          <w:rFonts w:ascii="Garamond" w:eastAsia="Garamond" w:hAnsi="Garamond"/>
          <w:sz w:val="24"/>
        </w:rPr>
        <w:t>pika</w:t>
      </w:r>
      <w:proofErr w:type="spellEnd"/>
      <w:r>
        <w:rPr>
          <w:rFonts w:ascii="Garamond" w:eastAsia="Garamond" w:hAnsi="Garamond"/>
          <w:sz w:val="24"/>
        </w:rPr>
        <w:t xml:space="preserve"> 16,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 xml:space="preserve"> nr. 155/2015,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”, </w:t>
      </w:r>
      <w:proofErr w:type="spellStart"/>
      <w:r>
        <w:rPr>
          <w:rFonts w:ascii="Garamond" w:eastAsia="Garamond" w:hAnsi="Garamond"/>
          <w:sz w:val="24"/>
        </w:rPr>
        <w:t>ministri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Financave</w:t>
      </w:r>
      <w:proofErr w:type="spellEnd"/>
    </w:p>
    <w:p w:rsidR="00BE4A64" w:rsidRDefault="00BE4A64" w:rsidP="00BE4A64">
      <w:pPr>
        <w:spacing w:line="157" w:lineRule="exact"/>
        <w:rPr>
          <w:rFonts w:ascii="Times New Roman" w:eastAsia="Times New Roman" w:hAnsi="Times New Roman"/>
        </w:rPr>
      </w:pPr>
    </w:p>
    <w:p w:rsidR="00BE4A64" w:rsidRDefault="00BE4A64" w:rsidP="00BE4A64">
      <w:pPr>
        <w:spacing w:line="0" w:lineRule="atLeast"/>
        <w:ind w:left="168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UDHËZON:</w:t>
      </w:r>
    </w:p>
    <w:p w:rsidR="00BE4A64" w:rsidRDefault="00BE4A64" w:rsidP="00BE4A64">
      <w:pPr>
        <w:spacing w:line="158" w:lineRule="exact"/>
        <w:rPr>
          <w:rFonts w:ascii="Times New Roman" w:eastAsia="Times New Roman" w:hAnsi="Times New Roman"/>
        </w:rPr>
      </w:pPr>
    </w:p>
    <w:p w:rsidR="00BE4A64" w:rsidRDefault="00BE4A64" w:rsidP="00BE4A64">
      <w:pPr>
        <w:numPr>
          <w:ilvl w:val="0"/>
          <w:numId w:val="1"/>
        </w:numPr>
        <w:tabs>
          <w:tab w:val="left" w:pos="509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Shoqëritë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fushën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nuk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mund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ndërtojnë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blejnë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marrin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qira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apo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huapërdorje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mjedise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ekspozuara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institucioneve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fetare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institucioneve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arsimit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parauniversitar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arsimit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lartë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7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numPr>
          <w:ilvl w:val="0"/>
          <w:numId w:val="1"/>
        </w:numPr>
        <w:tabs>
          <w:tab w:val="left" w:pos="562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Largësia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mjediseve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jetë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gramStart"/>
      <w:r>
        <w:rPr>
          <w:rFonts w:ascii="Garamond" w:eastAsia="Garamond" w:hAnsi="Garamond"/>
          <w:sz w:val="24"/>
        </w:rPr>
        <w:t>jo</w:t>
      </w:r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pak</w:t>
      </w:r>
      <w:proofErr w:type="spellEnd"/>
      <w:r>
        <w:rPr>
          <w:rFonts w:ascii="Garamond" w:eastAsia="Garamond" w:hAnsi="Garamond"/>
          <w:sz w:val="24"/>
        </w:rPr>
        <w:t xml:space="preserve"> se 100 m (</w:t>
      </w:r>
      <w:proofErr w:type="spellStart"/>
      <w:r>
        <w:rPr>
          <w:rFonts w:ascii="Garamond" w:eastAsia="Garamond" w:hAnsi="Garamond"/>
          <w:sz w:val="24"/>
        </w:rPr>
        <w:t>njëqind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metra</w:t>
      </w:r>
      <w:proofErr w:type="spellEnd"/>
      <w:r>
        <w:rPr>
          <w:rFonts w:ascii="Garamond" w:eastAsia="Garamond" w:hAnsi="Garamond"/>
          <w:sz w:val="24"/>
        </w:rPr>
        <w:t xml:space="preserve">)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vijë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ajrore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gjitha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drejtimet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institucionet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përcaktuara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pikën</w:t>
      </w:r>
      <w:proofErr w:type="spellEnd"/>
      <w:r>
        <w:rPr>
          <w:rFonts w:ascii="Garamond" w:eastAsia="Garamond" w:hAnsi="Garamond"/>
          <w:sz w:val="24"/>
        </w:rPr>
        <w:t xml:space="preserve"> 1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4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spacing w:line="239" w:lineRule="auto"/>
        <w:ind w:right="20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3"/>
        </w:rPr>
        <w:t>Distancat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prej</w:t>
      </w:r>
      <w:proofErr w:type="spellEnd"/>
      <w:r>
        <w:rPr>
          <w:rFonts w:ascii="Garamond" w:eastAsia="Garamond" w:hAnsi="Garamond"/>
          <w:sz w:val="23"/>
        </w:rPr>
        <w:t xml:space="preserve"> 100 m (</w:t>
      </w:r>
      <w:proofErr w:type="spellStart"/>
      <w:r>
        <w:rPr>
          <w:rFonts w:ascii="Garamond" w:eastAsia="Garamond" w:hAnsi="Garamond"/>
          <w:sz w:val="23"/>
        </w:rPr>
        <w:t>njëqind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metra</w:t>
      </w:r>
      <w:proofErr w:type="spellEnd"/>
      <w:r>
        <w:rPr>
          <w:rFonts w:ascii="Garamond" w:eastAsia="Garamond" w:hAnsi="Garamond"/>
          <w:sz w:val="23"/>
        </w:rPr>
        <w:t xml:space="preserve">)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vijë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ajrore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gjithë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drejtimet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përllogaritet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ndërmjet</w:t>
      </w:r>
      <w:proofErr w:type="spellEnd"/>
      <w:r w:rsidRPr="00137DD9"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ekstremiteteve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afërta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mjedisit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institucionet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parashikuara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pikën</w:t>
      </w:r>
      <w:proofErr w:type="spellEnd"/>
      <w:r>
        <w:rPr>
          <w:rFonts w:ascii="Garamond" w:eastAsia="Garamond" w:hAnsi="Garamond"/>
          <w:sz w:val="24"/>
        </w:rPr>
        <w:t xml:space="preserve"> 1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5" w:lineRule="exact"/>
        <w:rPr>
          <w:rFonts w:ascii="Times New Roman" w:eastAsia="Times New Roman" w:hAnsi="Times New Roman"/>
        </w:rPr>
      </w:pPr>
    </w:p>
    <w:p w:rsidR="00BE4A64" w:rsidRDefault="00BE4A64" w:rsidP="00BE4A64">
      <w:pPr>
        <w:numPr>
          <w:ilvl w:val="0"/>
          <w:numId w:val="2"/>
        </w:numPr>
        <w:tabs>
          <w:tab w:val="left" w:pos="624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Distanca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ndërmjet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kategorinë</w:t>
      </w:r>
      <w:proofErr w:type="spellEnd"/>
      <w:r>
        <w:rPr>
          <w:rFonts w:ascii="Garamond" w:eastAsia="Garamond" w:hAnsi="Garamond"/>
          <w:sz w:val="24"/>
        </w:rPr>
        <w:t xml:space="preserve"> e “</w:t>
      </w:r>
      <w:proofErr w:type="spellStart"/>
      <w:r>
        <w:rPr>
          <w:rFonts w:ascii="Garamond" w:eastAsia="Garamond" w:hAnsi="Garamond"/>
          <w:sz w:val="24"/>
        </w:rPr>
        <w:t>Basteve</w:t>
      </w:r>
      <w:proofErr w:type="spellEnd"/>
      <w:r>
        <w:rPr>
          <w:rFonts w:ascii="Garamond" w:eastAsia="Garamond" w:hAnsi="Garamond"/>
          <w:sz w:val="24"/>
        </w:rPr>
        <w:t xml:space="preserve"> Sportive”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jetë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gramStart"/>
      <w:r>
        <w:rPr>
          <w:rFonts w:ascii="Garamond" w:eastAsia="Garamond" w:hAnsi="Garamond"/>
          <w:sz w:val="24"/>
        </w:rPr>
        <w:t>jo</w:t>
      </w:r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pak</w:t>
      </w:r>
      <w:proofErr w:type="spellEnd"/>
      <w:r>
        <w:rPr>
          <w:rFonts w:ascii="Garamond" w:eastAsia="Garamond" w:hAnsi="Garamond"/>
          <w:sz w:val="24"/>
        </w:rPr>
        <w:t xml:space="preserve"> se 100 (</w:t>
      </w:r>
      <w:proofErr w:type="spellStart"/>
      <w:r>
        <w:rPr>
          <w:rFonts w:ascii="Garamond" w:eastAsia="Garamond" w:hAnsi="Garamond"/>
          <w:sz w:val="24"/>
        </w:rPr>
        <w:t>njëqind</w:t>
      </w:r>
      <w:proofErr w:type="spellEnd"/>
      <w:r>
        <w:rPr>
          <w:rFonts w:ascii="Garamond" w:eastAsia="Garamond" w:hAnsi="Garamond"/>
          <w:sz w:val="24"/>
        </w:rPr>
        <w:t xml:space="preserve">) m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vijë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ajrore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gjitha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drejtimet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adresat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4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spacing w:line="250" w:lineRule="auto"/>
        <w:ind w:firstLine="283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çdo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rast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pikat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sekondare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sportive </w:t>
      </w:r>
      <w:proofErr w:type="spellStart"/>
      <w:r>
        <w:rPr>
          <w:rFonts w:ascii="Garamond" w:eastAsia="Garamond" w:hAnsi="Garamond"/>
          <w:sz w:val="23"/>
        </w:rPr>
        <w:t>nuk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mund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jenë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afër</w:t>
      </w:r>
      <w:proofErr w:type="spellEnd"/>
      <w:r>
        <w:rPr>
          <w:rFonts w:ascii="Garamond" w:eastAsia="Garamond" w:hAnsi="Garamond"/>
          <w:sz w:val="23"/>
        </w:rPr>
        <w:t xml:space="preserve"> se 100 m (</w:t>
      </w:r>
      <w:proofErr w:type="spellStart"/>
      <w:r>
        <w:rPr>
          <w:rFonts w:ascii="Garamond" w:eastAsia="Garamond" w:hAnsi="Garamond"/>
          <w:sz w:val="23"/>
        </w:rPr>
        <w:t>njëqind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metra</w:t>
      </w:r>
      <w:proofErr w:type="spellEnd"/>
      <w:r>
        <w:rPr>
          <w:rFonts w:ascii="Garamond" w:eastAsia="Garamond" w:hAnsi="Garamond"/>
          <w:sz w:val="23"/>
        </w:rPr>
        <w:t xml:space="preserve">)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vijë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ajrore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gjithë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drejtimet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institucionet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përcaktuara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pikën</w:t>
      </w:r>
      <w:proofErr w:type="spellEnd"/>
      <w:r>
        <w:rPr>
          <w:rFonts w:ascii="Garamond" w:eastAsia="Garamond" w:hAnsi="Garamond"/>
          <w:sz w:val="23"/>
        </w:rPr>
        <w:t xml:space="preserve"> 1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këtij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udhëzimi</w:t>
      </w:r>
      <w:proofErr w:type="spellEnd"/>
      <w:r>
        <w:rPr>
          <w:rFonts w:ascii="Garamond" w:eastAsia="Garamond" w:hAnsi="Garamond"/>
          <w:sz w:val="23"/>
        </w:rPr>
        <w:t>.</w:t>
      </w:r>
    </w:p>
    <w:p w:rsidR="00BE4A64" w:rsidRDefault="00BE4A64" w:rsidP="00BE4A64">
      <w:pPr>
        <w:spacing w:line="2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numPr>
          <w:ilvl w:val="0"/>
          <w:numId w:val="2"/>
        </w:numPr>
        <w:tabs>
          <w:tab w:val="left" w:pos="504"/>
        </w:tabs>
        <w:spacing w:line="0" w:lineRule="atLeast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Organizatorët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kategorisë</w:t>
      </w:r>
      <w:proofErr w:type="spellEnd"/>
      <w:r>
        <w:rPr>
          <w:rFonts w:ascii="Garamond" w:eastAsia="Garamond" w:hAnsi="Garamond"/>
          <w:sz w:val="24"/>
        </w:rPr>
        <w:t xml:space="preserve"> “Baste sportive”,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zhvillojnë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aktualisht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tyre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detyruar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marrin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masat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nevojshme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përshtatjen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kërkesat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përcaktuara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pikën</w:t>
      </w:r>
      <w:proofErr w:type="spellEnd"/>
      <w:r>
        <w:rPr>
          <w:rFonts w:ascii="Garamond" w:eastAsia="Garamond" w:hAnsi="Garamond"/>
          <w:sz w:val="24"/>
        </w:rPr>
        <w:t xml:space="preserve"> 4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proofErr w:type="gramStart"/>
      <w:r>
        <w:rPr>
          <w:rFonts w:ascii="Garamond" w:eastAsia="Garamond" w:hAnsi="Garamond"/>
          <w:sz w:val="24"/>
        </w:rPr>
        <w:t>brenda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parashikuar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ligjin</w:t>
      </w:r>
      <w:proofErr w:type="spellEnd"/>
      <w:r>
        <w:rPr>
          <w:rFonts w:ascii="Garamond" w:eastAsia="Garamond" w:hAnsi="Garamond"/>
          <w:sz w:val="24"/>
        </w:rPr>
        <w:t xml:space="preserve"> nr. 155/2015,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>”.</w:t>
      </w:r>
    </w:p>
    <w:p w:rsidR="00BE4A64" w:rsidRDefault="00BE4A64" w:rsidP="00BE4A64">
      <w:pPr>
        <w:spacing w:line="239" w:lineRule="auto"/>
        <w:ind w:right="20" w:firstLine="283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funksion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detyrimi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organizatorët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kategorisë</w:t>
      </w:r>
      <w:proofErr w:type="spellEnd"/>
      <w:r>
        <w:rPr>
          <w:rFonts w:ascii="Garamond" w:eastAsia="Garamond" w:hAnsi="Garamond"/>
          <w:sz w:val="24"/>
        </w:rPr>
        <w:t xml:space="preserve"> “baste sportive”, </w:t>
      </w:r>
      <w:proofErr w:type="spellStart"/>
      <w:r>
        <w:rPr>
          <w:rFonts w:ascii="Garamond" w:eastAsia="Garamond" w:hAnsi="Garamond"/>
          <w:sz w:val="24"/>
        </w:rPr>
        <w:t>brenda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gjashtë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muajve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hyrja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fuqi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paraqesin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AMLF-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planin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identifikon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aktuale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masat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do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ndërmerren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brenda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ligjor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respektimin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distancave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sipas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kërkesave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9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numPr>
          <w:ilvl w:val="0"/>
          <w:numId w:val="2"/>
        </w:numPr>
        <w:tabs>
          <w:tab w:val="left" w:pos="549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Përllogaritja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distancave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përcaktuara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</w:t>
      </w:r>
      <w:proofErr w:type="spellEnd"/>
      <w:r>
        <w:rPr>
          <w:rFonts w:ascii="Garamond" w:eastAsia="Garamond" w:hAnsi="Garamond"/>
          <w:sz w:val="24"/>
        </w:rPr>
        <w:t xml:space="preserve"> do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kryhet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individë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ose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juridike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zotërojnë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profesionale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fushën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studimit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projektimit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ndërtim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profilin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inxhinier-gjeodet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4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numPr>
          <w:ilvl w:val="0"/>
          <w:numId w:val="2"/>
        </w:numPr>
        <w:tabs>
          <w:tab w:val="left" w:pos="588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Dokumentacioni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lëshuar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eksperti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është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pjesë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listës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dokumenteve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paraqiten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Autoritetit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Mbikëqyrjes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hapjes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adresave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kategorinë</w:t>
      </w:r>
      <w:proofErr w:type="spellEnd"/>
      <w:r>
        <w:rPr>
          <w:rFonts w:ascii="Garamond" w:eastAsia="Garamond" w:hAnsi="Garamond"/>
          <w:sz w:val="24"/>
        </w:rPr>
        <w:t xml:space="preserve"> “Baste sportive”.</w:t>
      </w:r>
    </w:p>
    <w:p w:rsidR="00BE4A64" w:rsidRDefault="00BE4A64" w:rsidP="00BE4A64">
      <w:pPr>
        <w:spacing w:line="6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numPr>
          <w:ilvl w:val="0"/>
          <w:numId w:val="2"/>
        </w:numPr>
        <w:tabs>
          <w:tab w:val="left" w:pos="621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Ngarkohen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organizatorët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Autoriteti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Mbikëqyrjes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zbatimin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5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numPr>
          <w:ilvl w:val="0"/>
          <w:numId w:val="2"/>
        </w:numPr>
        <w:tabs>
          <w:tab w:val="left" w:pos="638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 xml:space="preserve"> nr. 6, </w:t>
      </w:r>
      <w:proofErr w:type="spellStart"/>
      <w:r>
        <w:rPr>
          <w:rFonts w:ascii="Garamond" w:eastAsia="Garamond" w:hAnsi="Garamond"/>
          <w:sz w:val="24"/>
        </w:rPr>
        <w:t>datë</w:t>
      </w:r>
      <w:proofErr w:type="spellEnd"/>
      <w:r>
        <w:rPr>
          <w:rFonts w:ascii="Garamond" w:eastAsia="Garamond" w:hAnsi="Garamond"/>
          <w:sz w:val="24"/>
        </w:rPr>
        <w:t xml:space="preserve"> 19.1.2009,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paralajmërimin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lojtarëve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ekspozimin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ndaj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institucioneve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fetare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shëndetësore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arsimore</w:t>
      </w:r>
      <w:proofErr w:type="spellEnd"/>
      <w:r>
        <w:rPr>
          <w:rFonts w:ascii="Garamond" w:eastAsia="Garamond" w:hAnsi="Garamond"/>
          <w:sz w:val="24"/>
        </w:rPr>
        <w:t xml:space="preserve">” </w:t>
      </w:r>
      <w:proofErr w:type="spellStart"/>
      <w:r>
        <w:rPr>
          <w:rFonts w:ascii="Garamond" w:eastAsia="Garamond" w:hAnsi="Garamond"/>
          <w:sz w:val="24"/>
        </w:rPr>
        <w:t>shfuqizohet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4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spacing w:line="238" w:lineRule="auto"/>
        <w:ind w:right="20" w:firstLine="283"/>
        <w:jc w:val="both"/>
        <w:rPr>
          <w:rFonts w:ascii="Garamond" w:eastAsia="Garamond" w:hAnsi="Garamond"/>
          <w:sz w:val="24"/>
        </w:rPr>
      </w:pPr>
    </w:p>
    <w:p w:rsidR="00BE4A64" w:rsidRDefault="00BE4A64" w:rsidP="00BE4A64">
      <w:pPr>
        <w:spacing w:line="238" w:lineRule="auto"/>
        <w:ind w:right="20" w:firstLine="283"/>
        <w:jc w:val="both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Ky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hyn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fuqi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botimit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Fletoren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Zyrtare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BE4A64" w:rsidRDefault="00BE4A64" w:rsidP="00BE4A64">
      <w:pPr>
        <w:spacing w:line="4" w:lineRule="exact"/>
        <w:rPr>
          <w:rFonts w:ascii="Garamond" w:eastAsia="Garamond" w:hAnsi="Garamond"/>
          <w:sz w:val="24"/>
        </w:rPr>
      </w:pPr>
    </w:p>
    <w:p w:rsidR="00BE4A64" w:rsidRDefault="00BE4A64" w:rsidP="00BE4A64">
      <w:pPr>
        <w:spacing w:line="0" w:lineRule="atLeast"/>
        <w:ind w:left="20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</w:t>
      </w:r>
    </w:p>
    <w:p w:rsidR="00BE4A64" w:rsidRDefault="00BE4A64" w:rsidP="00BE4A64">
      <w:pPr>
        <w:spacing w:line="0" w:lineRule="atLeast"/>
        <w:ind w:left="20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   MINISTRI I FINANCAVE</w:t>
      </w:r>
    </w:p>
    <w:p w:rsidR="00BE4A64" w:rsidRDefault="00BE4A64" w:rsidP="00BE4A64">
      <w:pPr>
        <w:spacing w:line="10" w:lineRule="exact"/>
        <w:rPr>
          <w:rFonts w:ascii="Times New Roman" w:eastAsia="Times New Roman" w:hAnsi="Times New Roman"/>
        </w:rPr>
      </w:pPr>
    </w:p>
    <w:p w:rsidR="00BE4A64" w:rsidRDefault="00BE4A64" w:rsidP="00BE4A64">
      <w:pPr>
        <w:spacing w:line="0" w:lineRule="atLeast"/>
        <w:ind w:left="3100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                                                        </w:t>
      </w:r>
      <w:proofErr w:type="spellStart"/>
      <w:r>
        <w:rPr>
          <w:rFonts w:ascii="Garamond" w:eastAsia="Garamond" w:hAnsi="Garamond"/>
          <w:b/>
          <w:sz w:val="23"/>
        </w:rPr>
        <w:t>Arben</w:t>
      </w:r>
      <w:proofErr w:type="spellEnd"/>
      <w:r>
        <w:rPr>
          <w:rFonts w:ascii="Garamond" w:eastAsia="Garamond" w:hAnsi="Garamond"/>
          <w:b/>
          <w:sz w:val="23"/>
        </w:rPr>
        <w:t xml:space="preserve"> </w:t>
      </w:r>
      <w:proofErr w:type="spellStart"/>
      <w:r>
        <w:rPr>
          <w:rFonts w:ascii="Garamond" w:eastAsia="Garamond" w:hAnsi="Garamond"/>
          <w:b/>
          <w:sz w:val="23"/>
        </w:rPr>
        <w:t>Ahmetaj</w:t>
      </w:r>
      <w:proofErr w:type="spellEnd"/>
    </w:p>
    <w:p w:rsidR="007627A7" w:rsidRDefault="00BE4A64" w:rsidP="00BE4A64">
      <w:r>
        <w:rPr>
          <w:rFonts w:ascii="Garamond" w:eastAsia="Garamond" w:hAnsi="Garamond"/>
          <w:b/>
          <w:sz w:val="23"/>
        </w:rPr>
        <w:br w:type="column"/>
      </w:r>
      <w:bookmarkStart w:id="0" w:name="_GoBack"/>
      <w:bookmarkEnd w:id="0"/>
    </w:p>
    <w:sectPr w:rsidR="007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1"/>
    <w:multiLevelType w:val="hybridMultilevel"/>
    <w:tmpl w:val="579BE4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2"/>
    <w:multiLevelType w:val="hybridMultilevel"/>
    <w:tmpl w:val="310C50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64"/>
    <w:rsid w:val="007627A7"/>
    <w:rsid w:val="00B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2B58F-FA68-4EB3-B8A6-4D8674E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6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2017-01-20T08:19:00Z</dcterms:created>
  <dcterms:modified xsi:type="dcterms:W3CDTF">2017-01-20T08:20:00Z</dcterms:modified>
</cp:coreProperties>
</file>