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C3" w:rsidRDefault="002933C3" w:rsidP="002933C3">
      <w:pPr>
        <w:spacing w:line="0" w:lineRule="atLeast"/>
        <w:rPr>
          <w:rFonts w:ascii="Garamond" w:eastAsia="Garamond" w:hAnsi="Garamond"/>
          <w:b/>
          <w:sz w:val="24"/>
        </w:rPr>
      </w:pPr>
      <w:bookmarkStart w:id="0" w:name="page3"/>
      <w:bookmarkEnd w:id="0"/>
      <w:r>
        <w:rPr>
          <w:rFonts w:ascii="Times New Roman" w:eastAsia="Times New Roman" w:hAnsi="Times New Roman"/>
          <w:sz w:val="19"/>
        </w:rPr>
        <w:t xml:space="preserve">     </w:t>
      </w:r>
      <w:r>
        <w:rPr>
          <w:rFonts w:ascii="Garamond" w:eastAsia="Garamond" w:hAnsi="Garamond"/>
          <w:b/>
          <w:sz w:val="24"/>
        </w:rPr>
        <w:t xml:space="preserve">                 UDHËZIM</w:t>
      </w:r>
    </w:p>
    <w:p w:rsidR="002933C3" w:rsidRDefault="002933C3" w:rsidP="002933C3">
      <w:pPr>
        <w:spacing w:line="1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0" w:lineRule="atLeast"/>
        <w:ind w:left="1380"/>
        <w:rPr>
          <w:rFonts w:ascii="Garamond" w:eastAsia="Garamond" w:hAnsi="Garamond"/>
          <w:b/>
          <w:sz w:val="24"/>
        </w:rPr>
      </w:pPr>
      <w:r>
        <w:rPr>
          <w:rFonts w:ascii="Garamond" w:eastAsia="Garamond" w:hAnsi="Garamond"/>
          <w:b/>
          <w:sz w:val="24"/>
        </w:rPr>
        <w:t xml:space="preserve">Nr. 1, </w:t>
      </w:r>
      <w:proofErr w:type="spellStart"/>
      <w:r>
        <w:rPr>
          <w:rFonts w:ascii="Garamond" w:eastAsia="Garamond" w:hAnsi="Garamond"/>
          <w:b/>
          <w:sz w:val="24"/>
        </w:rPr>
        <w:t>datë</w:t>
      </w:r>
      <w:proofErr w:type="spellEnd"/>
      <w:r>
        <w:rPr>
          <w:rFonts w:ascii="Garamond" w:eastAsia="Garamond" w:hAnsi="Garamond"/>
          <w:b/>
          <w:sz w:val="24"/>
        </w:rPr>
        <w:t xml:space="preserve"> 9.1.2017</w:t>
      </w:r>
    </w:p>
    <w:p w:rsidR="002933C3" w:rsidRDefault="002933C3" w:rsidP="002933C3">
      <w:pPr>
        <w:spacing w:line="157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0" w:lineRule="atLeast"/>
        <w:ind w:left="120"/>
        <w:rPr>
          <w:rFonts w:ascii="Garamond" w:eastAsia="Garamond" w:hAnsi="Garamond"/>
          <w:b/>
          <w:sz w:val="24"/>
        </w:rPr>
      </w:pPr>
      <w:r>
        <w:rPr>
          <w:rFonts w:ascii="Garamond" w:eastAsia="Garamond" w:hAnsi="Garamond"/>
          <w:b/>
          <w:sz w:val="24"/>
        </w:rPr>
        <w:t xml:space="preserve">PËR PËRCAKTIMIN E PROCEDURAVE TË ZHDOGANIMIT TË PAJISJEVE PËR LOJËRA FATI DHE PJESËVE TË KËMBIMIT TË TYRE, SI DHE MËNYRËN E BASHKËPUNIMIT NDËRMJET AUTORITETIT TË </w:t>
      </w:r>
      <w:r>
        <w:rPr>
          <w:rFonts w:ascii="Garamond" w:eastAsia="Garamond" w:hAnsi="Garamond"/>
          <w:b/>
          <w:sz w:val="23"/>
        </w:rPr>
        <w:t>MBIKËQYRJES SË LOJËRAVE TË FATIT</w:t>
      </w:r>
      <w:r>
        <w:rPr>
          <w:rFonts w:ascii="Garamond" w:eastAsia="Garamond" w:hAnsi="Garamond"/>
          <w:b/>
          <w:sz w:val="24"/>
        </w:rPr>
        <w:t xml:space="preserve"> </w:t>
      </w:r>
      <w:r>
        <w:rPr>
          <w:rFonts w:ascii="Garamond" w:eastAsia="Garamond" w:hAnsi="Garamond"/>
          <w:b/>
          <w:sz w:val="23"/>
        </w:rPr>
        <w:t>DHE DREJTORISË SË PËRGJITHSHME</w:t>
      </w:r>
      <w:r>
        <w:rPr>
          <w:rFonts w:ascii="Garamond" w:eastAsia="Garamond" w:hAnsi="Garamond"/>
          <w:b/>
          <w:sz w:val="24"/>
        </w:rPr>
        <w:t xml:space="preserve"> TË DOGANAVE</w:t>
      </w:r>
    </w:p>
    <w:p w:rsidR="002933C3" w:rsidRDefault="002933C3" w:rsidP="002933C3">
      <w:pPr>
        <w:spacing w:line="159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239" w:lineRule="auto"/>
        <w:ind w:right="20" w:firstLine="283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mbështetje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pikës</w:t>
      </w:r>
      <w:proofErr w:type="spellEnd"/>
      <w:r>
        <w:rPr>
          <w:rFonts w:ascii="Garamond" w:eastAsia="Garamond" w:hAnsi="Garamond"/>
          <w:sz w:val="24"/>
        </w:rPr>
        <w:t xml:space="preserve"> 4,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nenit</w:t>
      </w:r>
      <w:proofErr w:type="spellEnd"/>
      <w:r>
        <w:rPr>
          <w:rFonts w:ascii="Garamond" w:eastAsia="Garamond" w:hAnsi="Garamond"/>
          <w:sz w:val="24"/>
        </w:rPr>
        <w:t xml:space="preserve"> 102,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Kushtetutës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Republikës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Shqipërisë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zbatim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pikës</w:t>
      </w:r>
      <w:proofErr w:type="spellEnd"/>
      <w:r>
        <w:rPr>
          <w:rFonts w:ascii="Garamond" w:eastAsia="Garamond" w:hAnsi="Garamond"/>
          <w:sz w:val="24"/>
        </w:rPr>
        <w:t xml:space="preserve"> 5,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nenit</w:t>
      </w:r>
      <w:proofErr w:type="spellEnd"/>
      <w:r>
        <w:rPr>
          <w:rFonts w:ascii="Garamond" w:eastAsia="Garamond" w:hAnsi="Garamond"/>
          <w:sz w:val="24"/>
        </w:rPr>
        <w:t xml:space="preserve"> 58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pikës</w:t>
      </w:r>
      <w:proofErr w:type="spellEnd"/>
      <w:r>
        <w:rPr>
          <w:rFonts w:ascii="Garamond" w:eastAsia="Garamond" w:hAnsi="Garamond"/>
          <w:sz w:val="24"/>
        </w:rPr>
        <w:t xml:space="preserve"> 14,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nenit</w:t>
      </w:r>
      <w:proofErr w:type="spellEnd"/>
      <w:r>
        <w:rPr>
          <w:rFonts w:ascii="Garamond" w:eastAsia="Garamond" w:hAnsi="Garamond"/>
          <w:sz w:val="24"/>
        </w:rPr>
        <w:t xml:space="preserve"> 70,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ligjit</w:t>
      </w:r>
      <w:proofErr w:type="spellEnd"/>
      <w:r>
        <w:rPr>
          <w:rFonts w:ascii="Garamond" w:eastAsia="Garamond" w:hAnsi="Garamond"/>
          <w:sz w:val="24"/>
        </w:rPr>
        <w:t xml:space="preserve"> nr. 155/2015, </w:t>
      </w:r>
      <w:proofErr w:type="spellStart"/>
      <w:r>
        <w:rPr>
          <w:rFonts w:ascii="Garamond" w:eastAsia="Garamond" w:hAnsi="Garamond"/>
          <w:sz w:val="24"/>
        </w:rPr>
        <w:t>datë</w:t>
      </w:r>
      <w:proofErr w:type="spellEnd"/>
      <w:r>
        <w:rPr>
          <w:rFonts w:ascii="Garamond" w:eastAsia="Garamond" w:hAnsi="Garamond"/>
          <w:sz w:val="24"/>
        </w:rPr>
        <w:t xml:space="preserve"> 21.12.2015, “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Republikën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Shqipërisë</w:t>
      </w:r>
      <w:proofErr w:type="spellEnd"/>
      <w:r>
        <w:rPr>
          <w:rFonts w:ascii="Garamond" w:eastAsia="Garamond" w:hAnsi="Garamond"/>
          <w:sz w:val="24"/>
        </w:rPr>
        <w:t xml:space="preserve">”, </w:t>
      </w:r>
      <w:proofErr w:type="spellStart"/>
      <w:r>
        <w:rPr>
          <w:rFonts w:ascii="Garamond" w:eastAsia="Garamond" w:hAnsi="Garamond"/>
          <w:sz w:val="24"/>
        </w:rPr>
        <w:t>ministri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Financave</w:t>
      </w:r>
      <w:proofErr w:type="spellEnd"/>
    </w:p>
    <w:p w:rsidR="002933C3" w:rsidRDefault="002933C3" w:rsidP="002933C3">
      <w:pPr>
        <w:spacing w:line="6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0" w:lineRule="atLeast"/>
        <w:ind w:left="1660"/>
        <w:rPr>
          <w:rFonts w:ascii="Garamond" w:eastAsia="Garamond" w:hAnsi="Garamond"/>
          <w:sz w:val="24"/>
        </w:rPr>
      </w:pPr>
    </w:p>
    <w:p w:rsidR="002933C3" w:rsidRDefault="002933C3" w:rsidP="002933C3">
      <w:pPr>
        <w:spacing w:line="0" w:lineRule="atLeast"/>
        <w:ind w:left="166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 xml:space="preserve">                               UDHËZON:</w:t>
      </w:r>
    </w:p>
    <w:p w:rsidR="002933C3" w:rsidRDefault="002933C3" w:rsidP="002933C3">
      <w:pPr>
        <w:spacing w:line="157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0" w:lineRule="atLeast"/>
        <w:ind w:left="1900"/>
        <w:rPr>
          <w:rFonts w:ascii="Garamond" w:eastAsia="Garamond" w:hAnsi="Garamond"/>
          <w:sz w:val="24"/>
        </w:rPr>
      </w:pPr>
    </w:p>
    <w:p w:rsidR="002933C3" w:rsidRDefault="002933C3" w:rsidP="002933C3">
      <w:pPr>
        <w:spacing w:line="0" w:lineRule="atLeast"/>
        <w:ind w:left="190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KREU I</w:t>
      </w:r>
    </w:p>
    <w:p w:rsidR="002933C3" w:rsidRDefault="002933C3" w:rsidP="002933C3">
      <w:pPr>
        <w:spacing w:line="1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DISPOZITA TË PËRGJITHSHME</w:t>
      </w:r>
    </w:p>
    <w:p w:rsidR="002933C3" w:rsidRDefault="002933C3" w:rsidP="002933C3">
      <w:pPr>
        <w:spacing w:line="158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numPr>
          <w:ilvl w:val="0"/>
          <w:numId w:val="1"/>
        </w:numPr>
        <w:tabs>
          <w:tab w:val="left" w:pos="516"/>
        </w:tabs>
        <w:spacing w:line="239" w:lineRule="auto"/>
        <w:ind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gjitha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mjetet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cilat</w:t>
      </w:r>
      <w:proofErr w:type="spellEnd"/>
      <w:r>
        <w:rPr>
          <w:rFonts w:ascii="Garamond" w:eastAsia="Garamond" w:hAnsi="Garamond"/>
          <w:sz w:val="24"/>
        </w:rPr>
        <w:t xml:space="preserve"> do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përdoren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zhvillim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aktiviteti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territorin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Republikës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Shqipërisë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duhet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plotësojnë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detyrimisht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specifikimet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teknike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parashikuara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ligjin</w:t>
      </w:r>
      <w:proofErr w:type="spellEnd"/>
      <w:r>
        <w:rPr>
          <w:rFonts w:ascii="Garamond" w:eastAsia="Garamond" w:hAnsi="Garamond"/>
          <w:sz w:val="24"/>
        </w:rPr>
        <w:t xml:space="preserve"> nr. 155/2015, “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Republikën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Shqipërisë</w:t>
      </w:r>
      <w:proofErr w:type="spellEnd"/>
      <w:r>
        <w:rPr>
          <w:rFonts w:ascii="Garamond" w:eastAsia="Garamond" w:hAnsi="Garamond"/>
          <w:sz w:val="24"/>
        </w:rPr>
        <w:t>” (</w:t>
      </w:r>
      <w:proofErr w:type="spellStart"/>
      <w:r>
        <w:rPr>
          <w:rFonts w:ascii="Garamond" w:eastAsia="Garamond" w:hAnsi="Garamond"/>
          <w:sz w:val="24"/>
        </w:rPr>
        <w:t>këtu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mëposhtë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referuar</w:t>
      </w:r>
      <w:proofErr w:type="spellEnd"/>
      <w:r>
        <w:rPr>
          <w:rFonts w:ascii="Garamond" w:eastAsia="Garamond" w:hAnsi="Garamond"/>
          <w:sz w:val="24"/>
        </w:rPr>
        <w:t xml:space="preserve"> “</w:t>
      </w:r>
      <w:proofErr w:type="spellStart"/>
      <w:r>
        <w:rPr>
          <w:rFonts w:ascii="Garamond" w:eastAsia="Garamond" w:hAnsi="Garamond"/>
          <w:sz w:val="24"/>
        </w:rPr>
        <w:t>ligji</w:t>
      </w:r>
      <w:proofErr w:type="spellEnd"/>
      <w:r>
        <w:rPr>
          <w:rFonts w:ascii="Garamond" w:eastAsia="Garamond" w:hAnsi="Garamond"/>
          <w:sz w:val="24"/>
        </w:rPr>
        <w:t xml:space="preserve">”)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nënligjore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dala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zbatim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tij</w:t>
      </w:r>
      <w:proofErr w:type="spellEnd"/>
      <w:r>
        <w:rPr>
          <w:rFonts w:ascii="Garamond" w:eastAsia="Garamond" w:hAnsi="Garamond"/>
          <w:sz w:val="24"/>
        </w:rPr>
        <w:t>.</w:t>
      </w:r>
    </w:p>
    <w:p w:rsidR="002933C3" w:rsidRDefault="002933C3" w:rsidP="002933C3">
      <w:pPr>
        <w:spacing w:line="9" w:lineRule="exact"/>
        <w:rPr>
          <w:rFonts w:ascii="Garamond" w:eastAsia="Garamond" w:hAnsi="Garamond"/>
          <w:sz w:val="24"/>
        </w:rPr>
      </w:pPr>
    </w:p>
    <w:p w:rsidR="002933C3" w:rsidRDefault="002933C3" w:rsidP="002933C3">
      <w:pPr>
        <w:numPr>
          <w:ilvl w:val="0"/>
          <w:numId w:val="1"/>
        </w:numPr>
        <w:tabs>
          <w:tab w:val="left" w:pos="554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qëllime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këtij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udhëzimi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mjete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nënkuptohen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gjitha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pajisjet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si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gjitha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pjesët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këmbimit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elektronike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elektrike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apo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mekanike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që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shërbejnë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apo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mund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shërbejnë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riparimin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ose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zëvendësimin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pjesëve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ekzistuese</w:t>
      </w:r>
      <w:proofErr w:type="spellEnd"/>
      <w:r>
        <w:rPr>
          <w:rFonts w:ascii="Garamond" w:eastAsia="Garamond" w:hAnsi="Garamond"/>
          <w:sz w:val="24"/>
        </w:rPr>
        <w:t>.</w:t>
      </w:r>
    </w:p>
    <w:p w:rsidR="002933C3" w:rsidRDefault="002933C3" w:rsidP="002933C3">
      <w:pPr>
        <w:spacing w:line="164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0" w:lineRule="atLeast"/>
        <w:ind w:left="1860"/>
        <w:rPr>
          <w:rFonts w:ascii="Garamond" w:eastAsia="Garamond" w:hAnsi="Garamond"/>
          <w:sz w:val="24"/>
        </w:rPr>
      </w:pPr>
    </w:p>
    <w:p w:rsidR="002933C3" w:rsidRDefault="002933C3" w:rsidP="002933C3">
      <w:pPr>
        <w:spacing w:line="0" w:lineRule="atLeast"/>
        <w:ind w:left="186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KREU II</w:t>
      </w:r>
    </w:p>
    <w:p w:rsidR="002933C3" w:rsidRDefault="002933C3" w:rsidP="002933C3">
      <w:pPr>
        <w:spacing w:line="239" w:lineRule="auto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IMPORTI I MJETEVE TË LOJËRAVE TË FATIT PËR QËLLIME TREGTARE</w:t>
      </w:r>
    </w:p>
    <w:p w:rsidR="002933C3" w:rsidRDefault="002933C3" w:rsidP="002933C3">
      <w:pPr>
        <w:spacing w:line="159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numPr>
          <w:ilvl w:val="0"/>
          <w:numId w:val="2"/>
        </w:numPr>
        <w:tabs>
          <w:tab w:val="left" w:pos="535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Lejohen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importojnë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mjete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qëllime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tregtare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vetëm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ata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organizatorë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cilët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kanë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marrë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miratimin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dhënien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lejes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ushtrimin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veprimtarisë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fushën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organi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përkatës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përputhje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kërkesat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ligjit</w:t>
      </w:r>
      <w:proofErr w:type="spellEnd"/>
      <w:r>
        <w:rPr>
          <w:rFonts w:ascii="Garamond" w:eastAsia="Garamond" w:hAnsi="Garamond"/>
          <w:sz w:val="24"/>
        </w:rPr>
        <w:t>.</w:t>
      </w:r>
    </w:p>
    <w:p w:rsidR="002933C3" w:rsidRDefault="002933C3" w:rsidP="002933C3">
      <w:pPr>
        <w:spacing w:line="6" w:lineRule="exact"/>
        <w:rPr>
          <w:rFonts w:ascii="Garamond" w:eastAsia="Garamond" w:hAnsi="Garamond"/>
          <w:sz w:val="24"/>
        </w:rPr>
      </w:pPr>
    </w:p>
    <w:p w:rsidR="002933C3" w:rsidRDefault="002933C3" w:rsidP="002933C3">
      <w:pPr>
        <w:numPr>
          <w:ilvl w:val="0"/>
          <w:numId w:val="2"/>
        </w:numPr>
        <w:tabs>
          <w:tab w:val="left" w:pos="530"/>
        </w:tabs>
        <w:spacing w:line="238" w:lineRule="auto"/>
        <w:ind w:right="20"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Organizatorët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që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kanë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marrë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miratimin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dhënien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lejes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ushtrimin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veprimtarisë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</w:p>
    <w:p w:rsidR="002933C3" w:rsidRDefault="002933C3" w:rsidP="002933C3">
      <w:pPr>
        <w:spacing w:line="3" w:lineRule="exact"/>
        <w:rPr>
          <w:rFonts w:ascii="Times New Roman" w:eastAsia="Times New Roman" w:hAnsi="Times New Roman"/>
        </w:rPr>
      </w:pPr>
    </w:p>
    <w:p w:rsidR="002933C3" w:rsidRPr="00CD05AD" w:rsidRDefault="002933C3" w:rsidP="002933C3">
      <w:pPr>
        <w:tabs>
          <w:tab w:val="left" w:pos="780"/>
          <w:tab w:val="left" w:pos="1080"/>
          <w:tab w:val="left" w:pos="1980"/>
          <w:tab w:val="left" w:pos="2360"/>
          <w:tab w:val="left" w:pos="2920"/>
          <w:tab w:val="left" w:pos="3440"/>
          <w:tab w:val="left" w:pos="4520"/>
        </w:tabs>
        <w:spacing w:line="0" w:lineRule="atLeast"/>
        <w:rPr>
          <w:rFonts w:ascii="Garamond" w:eastAsia="Garamond" w:hAnsi="Garamond"/>
          <w:sz w:val="17"/>
        </w:rPr>
      </w:pPr>
      <w:proofErr w:type="spellStart"/>
      <w:proofErr w:type="gramStart"/>
      <w:r>
        <w:rPr>
          <w:rFonts w:ascii="Garamond" w:eastAsia="Garamond" w:hAnsi="Garamond"/>
          <w:sz w:val="24"/>
        </w:rPr>
        <w:t>fushën</w:t>
      </w:r>
      <w:proofErr w:type="spellEnd"/>
      <w:proofErr w:type="gramEnd"/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4"/>
        </w:rPr>
        <w:t>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Garamond" w:eastAsia="Garamond" w:hAnsi="Garamond"/>
          <w:sz w:val="24"/>
        </w:rPr>
        <w:t>Autoriteti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Garamond" w:eastAsia="Garamond" w:hAnsi="Garamond"/>
          <w:sz w:val="17"/>
        </w:rPr>
        <w:t>i</w:t>
      </w:r>
      <w:proofErr w:type="spellEnd"/>
      <w:r>
        <w:rPr>
          <w:rFonts w:ascii="Garamond" w:eastAsia="Garamond" w:hAnsi="Garamond"/>
          <w:sz w:val="17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Mbikëqyrjes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Lojërave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Fatit</w:t>
      </w:r>
      <w:proofErr w:type="spellEnd"/>
      <w:r>
        <w:rPr>
          <w:rFonts w:ascii="Garamond" w:eastAsia="Garamond" w:hAnsi="Garamond"/>
          <w:sz w:val="23"/>
        </w:rPr>
        <w:t xml:space="preserve"> (</w:t>
      </w:r>
      <w:proofErr w:type="spellStart"/>
      <w:r>
        <w:rPr>
          <w:rFonts w:ascii="Garamond" w:eastAsia="Garamond" w:hAnsi="Garamond"/>
          <w:sz w:val="23"/>
        </w:rPr>
        <w:t>këtu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më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poshtë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referuar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si</w:t>
      </w:r>
      <w:proofErr w:type="spellEnd"/>
      <w:r>
        <w:rPr>
          <w:rFonts w:ascii="Garamond" w:eastAsia="Garamond" w:hAnsi="Garamond"/>
          <w:sz w:val="23"/>
        </w:rPr>
        <w:t xml:space="preserve"> “AMLF”),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momentin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importimit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mjeteve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lojërave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fatit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qëllime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tregtare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përveç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dokumentacionit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procedurën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çlirimit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qarkullim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lirë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mjeteve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lojërave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fatit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duhet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paraqesin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pranë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degëve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doganore</w:t>
      </w:r>
      <w:proofErr w:type="spellEnd"/>
      <w:r>
        <w:rPr>
          <w:rFonts w:ascii="Garamond" w:eastAsia="Garamond" w:hAnsi="Garamond"/>
          <w:sz w:val="23"/>
        </w:rPr>
        <w:t>:</w:t>
      </w:r>
    </w:p>
    <w:p w:rsidR="002933C3" w:rsidRDefault="002933C3" w:rsidP="002933C3">
      <w:pPr>
        <w:spacing w:line="3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0" w:lineRule="atLeast"/>
        <w:ind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 xml:space="preserve">a) </w:t>
      </w:r>
      <w:proofErr w:type="spellStart"/>
      <w:proofErr w:type="gramStart"/>
      <w:r>
        <w:rPr>
          <w:rFonts w:ascii="Garamond" w:eastAsia="Garamond" w:hAnsi="Garamond"/>
          <w:sz w:val="24"/>
        </w:rPr>
        <w:t>miratimin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paraprak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lëshuar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AMLF-ja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lejimin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importimit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mjeteve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rast</w:t>
      </w:r>
      <w:proofErr w:type="spellEnd"/>
      <w:r>
        <w:rPr>
          <w:rFonts w:ascii="Garamond" w:eastAsia="Garamond" w:hAnsi="Garamond"/>
          <w:sz w:val="24"/>
        </w:rPr>
        <w:t xml:space="preserve"> pas </w:t>
      </w:r>
      <w:proofErr w:type="spellStart"/>
      <w:r>
        <w:rPr>
          <w:rFonts w:ascii="Garamond" w:eastAsia="Garamond" w:hAnsi="Garamond"/>
          <w:sz w:val="24"/>
        </w:rPr>
        <w:t>rasti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ku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përfshihet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informacioni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mëposhtëm</w:t>
      </w:r>
      <w:proofErr w:type="spellEnd"/>
      <w:r>
        <w:rPr>
          <w:rFonts w:ascii="Garamond" w:eastAsia="Garamond" w:hAnsi="Garamond"/>
          <w:sz w:val="24"/>
        </w:rPr>
        <w:t>:</w:t>
      </w:r>
    </w:p>
    <w:p w:rsidR="002933C3" w:rsidRDefault="002933C3" w:rsidP="002933C3">
      <w:pPr>
        <w:numPr>
          <w:ilvl w:val="0"/>
          <w:numId w:val="3"/>
        </w:numPr>
        <w:tabs>
          <w:tab w:val="left" w:pos="460"/>
        </w:tabs>
        <w:spacing w:line="239" w:lineRule="auto"/>
        <w:ind w:left="460" w:hanging="175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emri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subjektit</w:t>
      </w:r>
      <w:proofErr w:type="spellEnd"/>
      <w:r>
        <w:rPr>
          <w:rFonts w:ascii="Garamond" w:eastAsia="Garamond" w:hAnsi="Garamond"/>
          <w:sz w:val="24"/>
        </w:rPr>
        <w:t>;</w:t>
      </w:r>
    </w:p>
    <w:p w:rsidR="002933C3" w:rsidRDefault="002933C3" w:rsidP="002933C3">
      <w:pPr>
        <w:spacing w:line="2" w:lineRule="exact"/>
        <w:rPr>
          <w:rFonts w:ascii="Garamond" w:eastAsia="Garamond" w:hAnsi="Garamond"/>
          <w:sz w:val="24"/>
        </w:rPr>
      </w:pPr>
    </w:p>
    <w:p w:rsidR="002933C3" w:rsidRDefault="002933C3" w:rsidP="002933C3">
      <w:pPr>
        <w:numPr>
          <w:ilvl w:val="0"/>
          <w:numId w:val="3"/>
        </w:numPr>
        <w:tabs>
          <w:tab w:val="left" w:pos="538"/>
        </w:tabs>
        <w:spacing w:line="239" w:lineRule="auto"/>
        <w:ind w:firstLine="285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numri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licencës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ushtrimit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veprimtarisë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fushën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>;</w:t>
      </w:r>
    </w:p>
    <w:p w:rsidR="002933C3" w:rsidRDefault="002933C3" w:rsidP="002933C3">
      <w:pPr>
        <w:spacing w:line="1" w:lineRule="exact"/>
        <w:rPr>
          <w:rFonts w:ascii="Garamond" w:eastAsia="Garamond" w:hAnsi="Garamond"/>
          <w:sz w:val="24"/>
        </w:rPr>
      </w:pPr>
    </w:p>
    <w:p w:rsidR="002933C3" w:rsidRDefault="002933C3" w:rsidP="002933C3">
      <w:pPr>
        <w:numPr>
          <w:ilvl w:val="0"/>
          <w:numId w:val="3"/>
        </w:numPr>
        <w:tabs>
          <w:tab w:val="left" w:pos="560"/>
        </w:tabs>
        <w:spacing w:line="0" w:lineRule="atLeast"/>
        <w:ind w:left="560" w:hanging="275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numrin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unik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identifikimit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subjektit</w:t>
      </w:r>
      <w:proofErr w:type="spellEnd"/>
      <w:r>
        <w:rPr>
          <w:rFonts w:ascii="Garamond" w:eastAsia="Garamond" w:hAnsi="Garamond"/>
          <w:sz w:val="24"/>
        </w:rPr>
        <w:t>;</w:t>
      </w:r>
    </w:p>
    <w:p w:rsidR="002933C3" w:rsidRDefault="002933C3" w:rsidP="002933C3">
      <w:pPr>
        <w:numPr>
          <w:ilvl w:val="0"/>
          <w:numId w:val="3"/>
        </w:numPr>
        <w:tabs>
          <w:tab w:val="left" w:pos="583"/>
        </w:tabs>
        <w:spacing w:line="0" w:lineRule="atLeast"/>
        <w:ind w:firstLine="285"/>
        <w:jc w:val="both"/>
        <w:rPr>
          <w:rFonts w:ascii="Garamond" w:eastAsia="Garamond" w:hAnsi="Garamond"/>
          <w:sz w:val="24"/>
        </w:rPr>
      </w:pPr>
      <w:proofErr w:type="spellStart"/>
      <w:proofErr w:type="gramStart"/>
      <w:r>
        <w:rPr>
          <w:rFonts w:ascii="Garamond" w:eastAsia="Garamond" w:hAnsi="Garamond"/>
          <w:sz w:val="24"/>
        </w:rPr>
        <w:t>listën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mjeteve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kodet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tarifore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përshkrimin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sasinë</w:t>
      </w:r>
      <w:proofErr w:type="spellEnd"/>
      <w:r>
        <w:rPr>
          <w:rFonts w:ascii="Garamond" w:eastAsia="Garamond" w:hAnsi="Garamond"/>
          <w:sz w:val="24"/>
        </w:rPr>
        <w:t>.</w:t>
      </w:r>
    </w:p>
    <w:p w:rsidR="002933C3" w:rsidRDefault="002933C3" w:rsidP="002933C3">
      <w:pPr>
        <w:spacing w:line="250" w:lineRule="auto"/>
        <w:ind w:firstLine="283"/>
        <w:jc w:val="both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 xml:space="preserve">3. AMLF-ja </w:t>
      </w:r>
      <w:proofErr w:type="spellStart"/>
      <w:r>
        <w:rPr>
          <w:rFonts w:ascii="Garamond" w:eastAsia="Garamond" w:hAnsi="Garamond"/>
          <w:sz w:val="23"/>
        </w:rPr>
        <w:t>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dërgon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Drejtorisë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Përgjithshme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Doganave</w:t>
      </w:r>
      <w:proofErr w:type="spellEnd"/>
      <w:r>
        <w:rPr>
          <w:rFonts w:ascii="Garamond" w:eastAsia="Garamond" w:hAnsi="Garamond"/>
          <w:sz w:val="23"/>
        </w:rPr>
        <w:t xml:space="preserve"> (</w:t>
      </w:r>
      <w:proofErr w:type="spellStart"/>
      <w:r>
        <w:rPr>
          <w:rFonts w:ascii="Garamond" w:eastAsia="Garamond" w:hAnsi="Garamond"/>
          <w:sz w:val="23"/>
        </w:rPr>
        <w:t>këtu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mëposhtë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referuar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si</w:t>
      </w:r>
      <w:proofErr w:type="spellEnd"/>
      <w:r>
        <w:rPr>
          <w:rFonts w:ascii="Garamond" w:eastAsia="Garamond" w:hAnsi="Garamond"/>
          <w:sz w:val="23"/>
        </w:rPr>
        <w:t xml:space="preserve"> “DPD”) </w:t>
      </w:r>
      <w:proofErr w:type="spellStart"/>
      <w:r>
        <w:rPr>
          <w:rFonts w:ascii="Garamond" w:eastAsia="Garamond" w:hAnsi="Garamond"/>
          <w:sz w:val="23"/>
        </w:rPr>
        <w:t>listën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subjekteve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pajisura</w:t>
      </w:r>
      <w:proofErr w:type="spellEnd"/>
      <w:r>
        <w:rPr>
          <w:rFonts w:ascii="Garamond" w:eastAsia="Garamond" w:hAnsi="Garamond"/>
          <w:sz w:val="23"/>
        </w:rPr>
        <w:t xml:space="preserve"> me </w:t>
      </w:r>
      <w:proofErr w:type="spellStart"/>
      <w:r>
        <w:rPr>
          <w:rFonts w:ascii="Garamond" w:eastAsia="Garamond" w:hAnsi="Garamond"/>
          <w:sz w:val="23"/>
        </w:rPr>
        <w:t>autorizim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lejim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importimit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dhe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rast</w:t>
      </w:r>
      <w:proofErr w:type="spellEnd"/>
      <w:r>
        <w:rPr>
          <w:rFonts w:ascii="Garamond" w:eastAsia="Garamond" w:hAnsi="Garamond"/>
          <w:sz w:val="23"/>
        </w:rPr>
        <w:t xml:space="preserve"> pas </w:t>
      </w:r>
      <w:proofErr w:type="spellStart"/>
      <w:r>
        <w:rPr>
          <w:rFonts w:ascii="Garamond" w:eastAsia="Garamond" w:hAnsi="Garamond"/>
          <w:sz w:val="23"/>
        </w:rPr>
        <w:t>rasti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njofton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këtë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drejtori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ndryshime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apo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shtesa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mundshme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</w:p>
    <w:p w:rsidR="002933C3" w:rsidRDefault="002933C3" w:rsidP="002933C3">
      <w:pPr>
        <w:spacing w:line="2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0" w:lineRule="atLeast"/>
        <w:rPr>
          <w:rFonts w:ascii="Garamond" w:eastAsia="Garamond" w:hAnsi="Garamond"/>
          <w:sz w:val="24"/>
        </w:rPr>
      </w:pPr>
      <w:proofErr w:type="spellStart"/>
      <w:proofErr w:type="gramStart"/>
      <w:r>
        <w:rPr>
          <w:rFonts w:ascii="Garamond" w:eastAsia="Garamond" w:hAnsi="Garamond"/>
          <w:sz w:val="24"/>
        </w:rPr>
        <w:t>këtë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listë</w:t>
      </w:r>
      <w:proofErr w:type="spellEnd"/>
      <w:r>
        <w:rPr>
          <w:rFonts w:ascii="Garamond" w:eastAsia="Garamond" w:hAnsi="Garamond"/>
          <w:sz w:val="24"/>
        </w:rPr>
        <w:t>.</w:t>
      </w:r>
    </w:p>
    <w:p w:rsidR="002933C3" w:rsidRDefault="002933C3" w:rsidP="002933C3">
      <w:pPr>
        <w:numPr>
          <w:ilvl w:val="0"/>
          <w:numId w:val="4"/>
        </w:numPr>
        <w:tabs>
          <w:tab w:val="left" w:pos="629"/>
        </w:tabs>
        <w:spacing w:line="239" w:lineRule="auto"/>
        <w:ind w:firstLine="285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 xml:space="preserve">AMLF-ja </w:t>
      </w:r>
      <w:proofErr w:type="spellStart"/>
      <w:r>
        <w:rPr>
          <w:rFonts w:ascii="Garamond" w:eastAsia="Garamond" w:hAnsi="Garamond"/>
          <w:sz w:val="24"/>
        </w:rPr>
        <w:t>njofton</w:t>
      </w:r>
      <w:proofErr w:type="spellEnd"/>
      <w:r>
        <w:rPr>
          <w:rFonts w:ascii="Garamond" w:eastAsia="Garamond" w:hAnsi="Garamond"/>
          <w:sz w:val="24"/>
        </w:rPr>
        <w:t xml:space="preserve"> DPD-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mënyrë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periodike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mbi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statusin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licencave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subjekteve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që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ushtrojnë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aktivitet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fushën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kur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këto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subjekte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janë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pezulluar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apo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kur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aktiviteti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subjektit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është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bllokuar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shkaqet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përcaktuara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ligjin</w:t>
      </w:r>
      <w:proofErr w:type="spellEnd"/>
      <w:r>
        <w:rPr>
          <w:rFonts w:ascii="Garamond" w:eastAsia="Garamond" w:hAnsi="Garamond"/>
          <w:sz w:val="24"/>
        </w:rPr>
        <w:t xml:space="preserve"> nr. 155/2015, “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Republikën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Shqipërisë</w:t>
      </w:r>
      <w:proofErr w:type="spellEnd"/>
      <w:r>
        <w:rPr>
          <w:rFonts w:ascii="Garamond" w:eastAsia="Garamond" w:hAnsi="Garamond"/>
          <w:sz w:val="24"/>
        </w:rPr>
        <w:t>”.</w:t>
      </w:r>
    </w:p>
    <w:p w:rsidR="002933C3" w:rsidRDefault="002933C3" w:rsidP="002933C3">
      <w:pPr>
        <w:spacing w:line="9" w:lineRule="exact"/>
        <w:rPr>
          <w:rFonts w:ascii="Garamond" w:eastAsia="Garamond" w:hAnsi="Garamond"/>
          <w:sz w:val="24"/>
        </w:rPr>
      </w:pPr>
    </w:p>
    <w:p w:rsidR="002933C3" w:rsidRDefault="002933C3" w:rsidP="002933C3">
      <w:pPr>
        <w:numPr>
          <w:ilvl w:val="0"/>
          <w:numId w:val="4"/>
        </w:numPr>
        <w:tabs>
          <w:tab w:val="left" w:pos="653"/>
        </w:tabs>
        <w:spacing w:line="239" w:lineRule="auto"/>
        <w:ind w:firstLine="285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Drejtoria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Përgjithshme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Doganave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raporton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periodikisht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pranë</w:t>
      </w:r>
      <w:proofErr w:type="spellEnd"/>
      <w:r>
        <w:rPr>
          <w:rFonts w:ascii="Garamond" w:eastAsia="Garamond" w:hAnsi="Garamond"/>
          <w:sz w:val="24"/>
        </w:rPr>
        <w:t xml:space="preserve"> AMLF-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importet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mjeteve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kryera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subjektet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cilat</w:t>
      </w:r>
      <w:proofErr w:type="spellEnd"/>
      <w:r>
        <w:rPr>
          <w:rFonts w:ascii="Garamond" w:eastAsia="Garamond" w:hAnsi="Garamond"/>
          <w:sz w:val="24"/>
        </w:rPr>
        <w:t xml:space="preserve"> AMFL-ja </w:t>
      </w:r>
      <w:proofErr w:type="spellStart"/>
      <w:r>
        <w:rPr>
          <w:rFonts w:ascii="Garamond" w:eastAsia="Garamond" w:hAnsi="Garamond"/>
          <w:sz w:val="24"/>
        </w:rPr>
        <w:t>ka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lëshuar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miratimin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paraprak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importin</w:t>
      </w:r>
      <w:proofErr w:type="spellEnd"/>
      <w:r>
        <w:rPr>
          <w:rFonts w:ascii="Garamond" w:eastAsia="Garamond" w:hAnsi="Garamond"/>
          <w:sz w:val="24"/>
        </w:rPr>
        <w:t>.</w:t>
      </w:r>
    </w:p>
    <w:p w:rsidR="002933C3" w:rsidRDefault="002933C3" w:rsidP="002933C3">
      <w:pPr>
        <w:spacing w:line="162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0" w:lineRule="atLeast"/>
        <w:ind w:left="1820"/>
        <w:rPr>
          <w:rFonts w:ascii="Garamond" w:eastAsia="Garamond" w:hAnsi="Garamond"/>
          <w:sz w:val="24"/>
        </w:rPr>
      </w:pPr>
    </w:p>
    <w:p w:rsidR="002933C3" w:rsidRDefault="002933C3" w:rsidP="002933C3">
      <w:pPr>
        <w:spacing w:line="0" w:lineRule="atLeast"/>
        <w:ind w:left="1820"/>
        <w:rPr>
          <w:rFonts w:ascii="Garamond" w:eastAsia="Garamond" w:hAnsi="Garamond"/>
          <w:sz w:val="24"/>
        </w:rPr>
      </w:pPr>
    </w:p>
    <w:p w:rsidR="002933C3" w:rsidRDefault="002933C3" w:rsidP="002933C3">
      <w:pPr>
        <w:spacing w:line="0" w:lineRule="atLeast"/>
        <w:ind w:left="1820"/>
        <w:rPr>
          <w:rFonts w:ascii="Garamond" w:eastAsia="Garamond" w:hAnsi="Garamond"/>
          <w:sz w:val="24"/>
        </w:rPr>
      </w:pPr>
    </w:p>
    <w:p w:rsidR="002933C3" w:rsidRDefault="002933C3" w:rsidP="002933C3">
      <w:pPr>
        <w:spacing w:line="0" w:lineRule="atLeast"/>
        <w:ind w:left="1820"/>
        <w:rPr>
          <w:rFonts w:ascii="Garamond" w:eastAsia="Garamond" w:hAnsi="Garamond"/>
          <w:sz w:val="24"/>
        </w:rPr>
      </w:pPr>
    </w:p>
    <w:p w:rsidR="002933C3" w:rsidRDefault="002933C3" w:rsidP="002933C3">
      <w:pPr>
        <w:spacing w:line="0" w:lineRule="atLeast"/>
        <w:ind w:left="1820"/>
        <w:rPr>
          <w:rFonts w:ascii="Garamond" w:eastAsia="Garamond" w:hAnsi="Garamond"/>
          <w:sz w:val="24"/>
        </w:rPr>
      </w:pPr>
    </w:p>
    <w:p w:rsidR="002933C3" w:rsidRDefault="002933C3" w:rsidP="002933C3">
      <w:pPr>
        <w:spacing w:line="0" w:lineRule="atLeast"/>
        <w:ind w:left="1820"/>
        <w:rPr>
          <w:rFonts w:ascii="Garamond" w:eastAsia="Garamond" w:hAnsi="Garamond"/>
          <w:sz w:val="24"/>
        </w:rPr>
      </w:pPr>
    </w:p>
    <w:p w:rsidR="002933C3" w:rsidRDefault="002933C3" w:rsidP="002933C3">
      <w:pPr>
        <w:spacing w:line="0" w:lineRule="atLeast"/>
        <w:ind w:left="1820"/>
        <w:rPr>
          <w:rFonts w:ascii="Garamond" w:eastAsia="Garamond" w:hAnsi="Garamond"/>
          <w:sz w:val="24"/>
        </w:rPr>
      </w:pPr>
    </w:p>
    <w:p w:rsidR="002933C3" w:rsidRDefault="002933C3" w:rsidP="002933C3">
      <w:pPr>
        <w:spacing w:line="0" w:lineRule="atLeast"/>
        <w:ind w:left="182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KREU III</w:t>
      </w:r>
    </w:p>
    <w:p w:rsidR="002933C3" w:rsidRDefault="002933C3" w:rsidP="002933C3">
      <w:pPr>
        <w:spacing w:line="0" w:lineRule="atLeast"/>
        <w:rPr>
          <w:rFonts w:ascii="Garamond" w:eastAsia="Garamond" w:hAnsi="Garamond"/>
          <w:sz w:val="24"/>
        </w:rPr>
      </w:pPr>
    </w:p>
    <w:p w:rsidR="002933C3" w:rsidRDefault="002933C3" w:rsidP="002933C3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IMPORTI I MJETEVE TË LOJËRAVE TË FATIT PËR QËLLIME JOTREGTARE</w:t>
      </w:r>
    </w:p>
    <w:p w:rsidR="002933C3" w:rsidRDefault="002933C3" w:rsidP="002933C3">
      <w:pPr>
        <w:spacing w:line="158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numPr>
          <w:ilvl w:val="0"/>
          <w:numId w:val="5"/>
        </w:numPr>
        <w:tabs>
          <w:tab w:val="left" w:pos="502"/>
        </w:tabs>
        <w:spacing w:line="250" w:lineRule="auto"/>
        <w:ind w:firstLine="285"/>
        <w:jc w:val="both"/>
        <w:rPr>
          <w:rFonts w:ascii="Garamond" w:eastAsia="Garamond" w:hAnsi="Garamond"/>
          <w:sz w:val="23"/>
        </w:rPr>
      </w:pPr>
      <w:proofErr w:type="spellStart"/>
      <w:r>
        <w:rPr>
          <w:rFonts w:ascii="Garamond" w:eastAsia="Garamond" w:hAnsi="Garamond"/>
          <w:sz w:val="23"/>
        </w:rPr>
        <w:t>Lejohet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importimi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mjeteve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lojëra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fati</w:t>
      </w:r>
      <w:proofErr w:type="spellEnd"/>
      <w:r>
        <w:rPr>
          <w:rFonts w:ascii="Garamond" w:eastAsia="Garamond" w:hAnsi="Garamond"/>
          <w:sz w:val="23"/>
        </w:rPr>
        <w:t xml:space="preserve"> me </w:t>
      </w:r>
      <w:proofErr w:type="spellStart"/>
      <w:r>
        <w:rPr>
          <w:rFonts w:ascii="Garamond" w:eastAsia="Garamond" w:hAnsi="Garamond"/>
          <w:sz w:val="23"/>
        </w:rPr>
        <w:t>qëllime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ndryshme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nga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ato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tregtare</w:t>
      </w:r>
      <w:proofErr w:type="spellEnd"/>
      <w:r>
        <w:rPr>
          <w:rFonts w:ascii="Garamond" w:eastAsia="Garamond" w:hAnsi="Garamond"/>
          <w:sz w:val="23"/>
        </w:rPr>
        <w:t xml:space="preserve"> (</w:t>
      </w:r>
      <w:proofErr w:type="spellStart"/>
      <w:r>
        <w:rPr>
          <w:rFonts w:ascii="Garamond" w:eastAsia="Garamond" w:hAnsi="Garamond"/>
          <w:sz w:val="23"/>
        </w:rPr>
        <w:t>si</w:t>
      </w:r>
      <w:proofErr w:type="spellEnd"/>
      <w:r>
        <w:rPr>
          <w:rFonts w:ascii="Garamond" w:eastAsia="Garamond" w:hAnsi="Garamond"/>
          <w:sz w:val="23"/>
        </w:rPr>
        <w:t xml:space="preserve"> p.sh.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qëllime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muzeale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ekspozimi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panairesh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etj</w:t>
      </w:r>
      <w:proofErr w:type="spellEnd"/>
      <w:r>
        <w:rPr>
          <w:rFonts w:ascii="Garamond" w:eastAsia="Garamond" w:hAnsi="Garamond"/>
          <w:sz w:val="23"/>
        </w:rPr>
        <w:t xml:space="preserve">.), </w:t>
      </w:r>
      <w:proofErr w:type="spellStart"/>
      <w:r>
        <w:rPr>
          <w:rFonts w:ascii="Garamond" w:eastAsia="Garamond" w:hAnsi="Garamond"/>
          <w:sz w:val="23"/>
        </w:rPr>
        <w:t>vetëm</w:t>
      </w:r>
      <w:proofErr w:type="spellEnd"/>
      <w:r>
        <w:rPr>
          <w:rFonts w:ascii="Garamond" w:eastAsia="Garamond" w:hAnsi="Garamond"/>
          <w:sz w:val="23"/>
        </w:rPr>
        <w:t xml:space="preserve"> pas </w:t>
      </w:r>
      <w:proofErr w:type="spellStart"/>
      <w:r>
        <w:rPr>
          <w:rFonts w:ascii="Garamond" w:eastAsia="Garamond" w:hAnsi="Garamond"/>
          <w:sz w:val="23"/>
        </w:rPr>
        <w:t>marrjes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miratimit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paraprak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nga</w:t>
      </w:r>
      <w:proofErr w:type="spellEnd"/>
      <w:r>
        <w:rPr>
          <w:rFonts w:ascii="Garamond" w:eastAsia="Garamond" w:hAnsi="Garamond"/>
          <w:sz w:val="23"/>
        </w:rPr>
        <w:t xml:space="preserve"> AMLF-ja.</w:t>
      </w:r>
    </w:p>
    <w:p w:rsidR="002933C3" w:rsidRDefault="002933C3" w:rsidP="002933C3">
      <w:pPr>
        <w:spacing w:line="2" w:lineRule="exact"/>
        <w:rPr>
          <w:rFonts w:ascii="Garamond" w:eastAsia="Garamond" w:hAnsi="Garamond"/>
          <w:sz w:val="23"/>
        </w:rPr>
      </w:pPr>
    </w:p>
    <w:p w:rsidR="002933C3" w:rsidRDefault="002933C3" w:rsidP="002933C3">
      <w:pPr>
        <w:numPr>
          <w:ilvl w:val="0"/>
          <w:numId w:val="5"/>
        </w:numPr>
        <w:tabs>
          <w:tab w:val="left" w:pos="600"/>
        </w:tabs>
        <w:spacing w:line="0" w:lineRule="atLeast"/>
        <w:ind w:firstLine="285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pajisjen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miratimin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paraprak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lejimin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importimit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pajisjeve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qëllime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ndryshme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ato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tregtare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subjekti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duhet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paraqesë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pranë</w:t>
      </w:r>
      <w:proofErr w:type="spellEnd"/>
      <w:r>
        <w:rPr>
          <w:rFonts w:ascii="Garamond" w:eastAsia="Garamond" w:hAnsi="Garamond"/>
          <w:sz w:val="24"/>
        </w:rPr>
        <w:t xml:space="preserve"> AMLF-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>:</w:t>
      </w:r>
    </w:p>
    <w:p w:rsidR="002933C3" w:rsidRDefault="002933C3" w:rsidP="002933C3">
      <w:pPr>
        <w:spacing w:line="239" w:lineRule="auto"/>
        <w:ind w:left="28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 xml:space="preserve">a) </w:t>
      </w:r>
      <w:proofErr w:type="spellStart"/>
      <w:proofErr w:type="gramStart"/>
      <w:r>
        <w:rPr>
          <w:rFonts w:ascii="Garamond" w:eastAsia="Garamond" w:hAnsi="Garamond"/>
          <w:sz w:val="24"/>
        </w:rPr>
        <w:t>kërkesën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shkrim</w:t>
      </w:r>
      <w:proofErr w:type="spellEnd"/>
      <w:r>
        <w:rPr>
          <w:rFonts w:ascii="Garamond" w:eastAsia="Garamond" w:hAnsi="Garamond"/>
          <w:sz w:val="24"/>
        </w:rPr>
        <w:t>;</w:t>
      </w:r>
    </w:p>
    <w:p w:rsidR="002933C3" w:rsidRDefault="002933C3" w:rsidP="002933C3">
      <w:pPr>
        <w:spacing w:line="2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239" w:lineRule="auto"/>
        <w:ind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 xml:space="preserve">b) </w:t>
      </w:r>
      <w:proofErr w:type="gramStart"/>
      <w:r>
        <w:rPr>
          <w:rFonts w:ascii="Garamond" w:eastAsia="Garamond" w:hAnsi="Garamond"/>
          <w:sz w:val="24"/>
        </w:rPr>
        <w:t>kopje</w:t>
      </w:r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noterizuar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certifikatës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regjistrimit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lëshuar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Qendra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Kombëtare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Biznesit</w:t>
      </w:r>
      <w:proofErr w:type="spellEnd"/>
      <w:r>
        <w:rPr>
          <w:rFonts w:ascii="Garamond" w:eastAsia="Garamond" w:hAnsi="Garamond"/>
          <w:sz w:val="24"/>
        </w:rPr>
        <w:t xml:space="preserve"> (NUIS);</w:t>
      </w:r>
    </w:p>
    <w:p w:rsidR="002933C3" w:rsidRDefault="002933C3" w:rsidP="002933C3">
      <w:pPr>
        <w:spacing w:line="250" w:lineRule="auto"/>
        <w:ind w:right="20"/>
        <w:jc w:val="both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 xml:space="preserve">c) </w:t>
      </w:r>
      <w:proofErr w:type="spellStart"/>
      <w:proofErr w:type="gramStart"/>
      <w:r>
        <w:rPr>
          <w:rFonts w:ascii="Garamond" w:eastAsia="Garamond" w:hAnsi="Garamond"/>
          <w:sz w:val="23"/>
        </w:rPr>
        <w:t>të</w:t>
      </w:r>
      <w:proofErr w:type="spellEnd"/>
      <w:proofErr w:type="gram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dhëna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numrin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llojin</w:t>
      </w:r>
      <w:proofErr w:type="spellEnd"/>
      <w:r>
        <w:rPr>
          <w:rFonts w:ascii="Garamond" w:eastAsia="Garamond" w:hAnsi="Garamond"/>
          <w:sz w:val="23"/>
        </w:rPr>
        <w:t>/</w:t>
      </w:r>
      <w:proofErr w:type="spellStart"/>
      <w:r>
        <w:rPr>
          <w:rFonts w:ascii="Garamond" w:eastAsia="Garamond" w:hAnsi="Garamond"/>
          <w:sz w:val="23"/>
        </w:rPr>
        <w:t>tipin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sasinë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makinerive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pajisjeve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që</w:t>
      </w:r>
      <w:proofErr w:type="spellEnd"/>
      <w:r>
        <w:rPr>
          <w:rFonts w:ascii="Garamond" w:eastAsia="Garamond" w:hAnsi="Garamond"/>
          <w:sz w:val="23"/>
        </w:rPr>
        <w:t xml:space="preserve"> do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importohen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dhe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qëllimin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përdorimit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mjeteve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lojërave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fatit</w:t>
      </w:r>
      <w:proofErr w:type="spellEnd"/>
      <w:r>
        <w:rPr>
          <w:rFonts w:ascii="Garamond" w:eastAsia="Garamond" w:hAnsi="Garamond"/>
          <w:sz w:val="23"/>
        </w:rPr>
        <w:t>;</w:t>
      </w:r>
    </w:p>
    <w:p w:rsidR="002933C3" w:rsidRDefault="002933C3" w:rsidP="002933C3">
      <w:pPr>
        <w:spacing w:line="3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239" w:lineRule="auto"/>
        <w:ind w:right="20"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 xml:space="preserve">ç) </w:t>
      </w:r>
      <w:proofErr w:type="spellStart"/>
      <w:proofErr w:type="gramStart"/>
      <w:r>
        <w:rPr>
          <w:rFonts w:ascii="Garamond" w:eastAsia="Garamond" w:hAnsi="Garamond"/>
          <w:sz w:val="24"/>
        </w:rPr>
        <w:t>dokumentacionin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përkatës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që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shoqërojnë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mjetet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që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shërbejnë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që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vërtetojnë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plotësimin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specifikimeve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teknike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përcaktuara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ligjore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apo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nënligjore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fuqi</w:t>
      </w:r>
      <w:proofErr w:type="spellEnd"/>
      <w:r>
        <w:rPr>
          <w:rFonts w:ascii="Garamond" w:eastAsia="Garamond" w:hAnsi="Garamond"/>
          <w:sz w:val="24"/>
        </w:rPr>
        <w:t>.</w:t>
      </w:r>
    </w:p>
    <w:p w:rsidR="002933C3" w:rsidRDefault="002933C3" w:rsidP="002933C3">
      <w:pPr>
        <w:spacing w:line="4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numPr>
          <w:ilvl w:val="0"/>
          <w:numId w:val="6"/>
        </w:numPr>
        <w:tabs>
          <w:tab w:val="left" w:pos="559"/>
        </w:tabs>
        <w:spacing w:line="250" w:lineRule="auto"/>
        <w:ind w:right="20" w:firstLine="276"/>
        <w:jc w:val="both"/>
        <w:rPr>
          <w:rFonts w:ascii="Garamond" w:eastAsia="Garamond" w:hAnsi="Garamond"/>
          <w:sz w:val="23"/>
        </w:rPr>
      </w:pPr>
      <w:proofErr w:type="spellStart"/>
      <w:r>
        <w:rPr>
          <w:rFonts w:ascii="Garamond" w:eastAsia="Garamond" w:hAnsi="Garamond"/>
          <w:sz w:val="23"/>
        </w:rPr>
        <w:t>Importuesit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cilët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kanë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marrë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miratimin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paraprak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nga</w:t>
      </w:r>
      <w:proofErr w:type="spellEnd"/>
      <w:r>
        <w:rPr>
          <w:rFonts w:ascii="Garamond" w:eastAsia="Garamond" w:hAnsi="Garamond"/>
          <w:sz w:val="23"/>
        </w:rPr>
        <w:t xml:space="preserve"> AMLF-ja, </w:t>
      </w:r>
      <w:proofErr w:type="spellStart"/>
      <w:r>
        <w:rPr>
          <w:rFonts w:ascii="Garamond" w:eastAsia="Garamond" w:hAnsi="Garamond"/>
          <w:sz w:val="23"/>
        </w:rPr>
        <w:t>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momentin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importimit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mjeteve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lojërave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fatit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qëllime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ndryshme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nga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ato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tregtare</w:t>
      </w:r>
      <w:proofErr w:type="spellEnd"/>
      <w:r>
        <w:rPr>
          <w:rFonts w:ascii="Garamond" w:eastAsia="Garamond" w:hAnsi="Garamond"/>
          <w:sz w:val="23"/>
        </w:rPr>
        <w:t xml:space="preserve"> (</w:t>
      </w:r>
      <w:proofErr w:type="spellStart"/>
      <w:r>
        <w:rPr>
          <w:rFonts w:ascii="Garamond" w:eastAsia="Garamond" w:hAnsi="Garamond"/>
          <w:sz w:val="23"/>
        </w:rPr>
        <w:t>si</w:t>
      </w:r>
      <w:proofErr w:type="spellEnd"/>
      <w:r>
        <w:rPr>
          <w:rFonts w:ascii="Garamond" w:eastAsia="Garamond" w:hAnsi="Garamond"/>
          <w:sz w:val="23"/>
        </w:rPr>
        <w:t xml:space="preserve"> p.sh.,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qëllime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muzeale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ekspozimi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panairesh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etj</w:t>
      </w:r>
      <w:proofErr w:type="spellEnd"/>
      <w:r>
        <w:rPr>
          <w:rFonts w:ascii="Garamond" w:eastAsia="Garamond" w:hAnsi="Garamond"/>
          <w:sz w:val="23"/>
        </w:rPr>
        <w:t xml:space="preserve">.), </w:t>
      </w:r>
      <w:proofErr w:type="spellStart"/>
      <w:r>
        <w:rPr>
          <w:rFonts w:ascii="Garamond" w:eastAsia="Garamond" w:hAnsi="Garamond"/>
          <w:sz w:val="23"/>
        </w:rPr>
        <w:t>përveç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dokumentacionit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procedurën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çlirimit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për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qarkullim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lirë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mjeteve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lojërave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fatit</w:t>
      </w:r>
      <w:proofErr w:type="spellEnd"/>
      <w:r>
        <w:rPr>
          <w:rFonts w:ascii="Garamond" w:eastAsia="Garamond" w:hAnsi="Garamond"/>
          <w:sz w:val="23"/>
        </w:rPr>
        <w:t xml:space="preserve">, </w:t>
      </w:r>
      <w:proofErr w:type="spellStart"/>
      <w:r>
        <w:rPr>
          <w:rFonts w:ascii="Garamond" w:eastAsia="Garamond" w:hAnsi="Garamond"/>
          <w:sz w:val="23"/>
        </w:rPr>
        <w:t>duhet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paraqesin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pranë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degëve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doganore</w:t>
      </w:r>
      <w:proofErr w:type="spellEnd"/>
      <w:r>
        <w:rPr>
          <w:rFonts w:ascii="Garamond" w:eastAsia="Garamond" w:hAnsi="Garamond"/>
          <w:sz w:val="23"/>
        </w:rPr>
        <w:t>:</w:t>
      </w:r>
    </w:p>
    <w:p w:rsidR="002933C3" w:rsidRDefault="002933C3" w:rsidP="002933C3">
      <w:pPr>
        <w:spacing w:line="4" w:lineRule="exact"/>
        <w:rPr>
          <w:rFonts w:ascii="Garamond" w:eastAsia="Garamond" w:hAnsi="Garamond"/>
          <w:sz w:val="23"/>
        </w:rPr>
      </w:pPr>
    </w:p>
    <w:p w:rsidR="002933C3" w:rsidRDefault="002933C3" w:rsidP="002933C3">
      <w:pPr>
        <w:spacing w:line="239" w:lineRule="auto"/>
        <w:ind w:right="20" w:firstLine="283"/>
        <w:jc w:val="both"/>
        <w:rPr>
          <w:rFonts w:ascii="Garamond" w:eastAsia="Garamond" w:hAnsi="Garamond"/>
          <w:sz w:val="24"/>
        </w:rPr>
      </w:pPr>
      <w:proofErr w:type="gramStart"/>
      <w:r>
        <w:rPr>
          <w:rFonts w:ascii="Garamond" w:eastAsia="Garamond" w:hAnsi="Garamond"/>
          <w:sz w:val="24"/>
        </w:rPr>
        <w:t>a</w:t>
      </w:r>
      <w:proofErr w:type="gramEnd"/>
      <w:r>
        <w:rPr>
          <w:rFonts w:ascii="Garamond" w:eastAsia="Garamond" w:hAnsi="Garamond"/>
          <w:sz w:val="24"/>
        </w:rPr>
        <w:t xml:space="preserve">. </w:t>
      </w:r>
      <w:proofErr w:type="spellStart"/>
      <w:r>
        <w:rPr>
          <w:rFonts w:ascii="Garamond" w:eastAsia="Garamond" w:hAnsi="Garamond"/>
          <w:sz w:val="24"/>
        </w:rPr>
        <w:t>miratimin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paraprak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lëshuar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AMLF-ja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lejimin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importimit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mjeteve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rast</w:t>
      </w:r>
      <w:proofErr w:type="spellEnd"/>
      <w:r>
        <w:rPr>
          <w:rFonts w:ascii="Garamond" w:eastAsia="Garamond" w:hAnsi="Garamond"/>
          <w:sz w:val="24"/>
        </w:rPr>
        <w:t xml:space="preserve"> pas </w:t>
      </w:r>
      <w:proofErr w:type="spellStart"/>
      <w:r>
        <w:rPr>
          <w:rFonts w:ascii="Garamond" w:eastAsia="Garamond" w:hAnsi="Garamond"/>
          <w:sz w:val="24"/>
        </w:rPr>
        <w:t>rasti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ku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përfshihet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informacioni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mëposhtëm</w:t>
      </w:r>
      <w:proofErr w:type="spellEnd"/>
      <w:r>
        <w:rPr>
          <w:rFonts w:ascii="Garamond" w:eastAsia="Garamond" w:hAnsi="Garamond"/>
          <w:sz w:val="24"/>
        </w:rPr>
        <w:t>:</w:t>
      </w:r>
    </w:p>
    <w:p w:rsidR="002933C3" w:rsidRDefault="002933C3" w:rsidP="002933C3">
      <w:pPr>
        <w:spacing w:line="3" w:lineRule="exact"/>
        <w:rPr>
          <w:rFonts w:ascii="Garamond" w:eastAsia="Garamond" w:hAnsi="Garamond"/>
          <w:sz w:val="23"/>
        </w:rPr>
      </w:pPr>
    </w:p>
    <w:p w:rsidR="002933C3" w:rsidRDefault="002933C3" w:rsidP="002933C3">
      <w:pPr>
        <w:spacing w:line="0" w:lineRule="atLeast"/>
        <w:ind w:left="280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) </w:t>
      </w:r>
      <w:proofErr w:type="spellStart"/>
      <w:proofErr w:type="gramStart"/>
      <w:r>
        <w:rPr>
          <w:rFonts w:ascii="Garamond" w:eastAsia="Garamond" w:hAnsi="Garamond"/>
          <w:sz w:val="24"/>
        </w:rPr>
        <w:t>emri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subjektit</w:t>
      </w:r>
      <w:proofErr w:type="spellEnd"/>
      <w:r>
        <w:rPr>
          <w:rFonts w:ascii="Garamond" w:eastAsia="Garamond" w:hAnsi="Garamond"/>
          <w:sz w:val="24"/>
        </w:rPr>
        <w:t>;</w:t>
      </w:r>
    </w:p>
    <w:p w:rsidR="002933C3" w:rsidRDefault="002933C3" w:rsidP="002933C3">
      <w:pPr>
        <w:spacing w:line="239" w:lineRule="auto"/>
        <w:ind w:left="28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 xml:space="preserve">ii) </w:t>
      </w:r>
      <w:proofErr w:type="spellStart"/>
      <w:proofErr w:type="gramStart"/>
      <w:r>
        <w:rPr>
          <w:rFonts w:ascii="Garamond" w:eastAsia="Garamond" w:hAnsi="Garamond"/>
          <w:sz w:val="24"/>
        </w:rPr>
        <w:t>numrin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unik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identifikimit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subjektit</w:t>
      </w:r>
      <w:proofErr w:type="spellEnd"/>
      <w:r>
        <w:rPr>
          <w:rFonts w:ascii="Garamond" w:eastAsia="Garamond" w:hAnsi="Garamond"/>
          <w:sz w:val="24"/>
        </w:rPr>
        <w:t>;</w:t>
      </w:r>
    </w:p>
    <w:p w:rsidR="002933C3" w:rsidRDefault="002933C3" w:rsidP="002933C3">
      <w:pPr>
        <w:spacing w:line="2" w:lineRule="exact"/>
        <w:rPr>
          <w:rFonts w:ascii="Garamond" w:eastAsia="Garamond" w:hAnsi="Garamond"/>
          <w:sz w:val="23"/>
        </w:rPr>
      </w:pPr>
    </w:p>
    <w:p w:rsidR="002933C3" w:rsidRDefault="002933C3" w:rsidP="002933C3">
      <w:pPr>
        <w:spacing w:line="238" w:lineRule="auto"/>
        <w:ind w:right="20" w:firstLine="283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 xml:space="preserve">iii) </w:t>
      </w:r>
      <w:proofErr w:type="spellStart"/>
      <w:proofErr w:type="gramStart"/>
      <w:r>
        <w:rPr>
          <w:rFonts w:ascii="Garamond" w:eastAsia="Garamond" w:hAnsi="Garamond"/>
          <w:sz w:val="24"/>
        </w:rPr>
        <w:t>listën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mjeteve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kodet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tarifore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përshkrimin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sasinë</w:t>
      </w:r>
      <w:proofErr w:type="spellEnd"/>
      <w:r>
        <w:rPr>
          <w:rFonts w:ascii="Garamond" w:eastAsia="Garamond" w:hAnsi="Garamond"/>
          <w:sz w:val="24"/>
        </w:rPr>
        <w:t>.</w:t>
      </w:r>
    </w:p>
    <w:p w:rsidR="002933C3" w:rsidRDefault="002933C3" w:rsidP="002933C3">
      <w:pPr>
        <w:spacing w:line="4" w:lineRule="exact"/>
        <w:rPr>
          <w:rFonts w:ascii="Garamond" w:eastAsia="Garamond" w:hAnsi="Garamond"/>
          <w:sz w:val="23"/>
        </w:rPr>
      </w:pPr>
    </w:p>
    <w:p w:rsidR="002933C3" w:rsidRDefault="002933C3" w:rsidP="002933C3">
      <w:pPr>
        <w:numPr>
          <w:ilvl w:val="0"/>
          <w:numId w:val="6"/>
        </w:numPr>
        <w:tabs>
          <w:tab w:val="left" w:pos="653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Drejtoria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Përgjithshme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Doganave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raporton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periodikisht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pranë</w:t>
      </w:r>
      <w:proofErr w:type="spellEnd"/>
      <w:r>
        <w:rPr>
          <w:rFonts w:ascii="Garamond" w:eastAsia="Garamond" w:hAnsi="Garamond"/>
          <w:sz w:val="24"/>
        </w:rPr>
        <w:t xml:space="preserve"> AMLF-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importet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mjeteve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kryera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subjektet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cilat</w:t>
      </w:r>
      <w:proofErr w:type="spellEnd"/>
      <w:r>
        <w:rPr>
          <w:rFonts w:ascii="Garamond" w:eastAsia="Garamond" w:hAnsi="Garamond"/>
          <w:sz w:val="24"/>
        </w:rPr>
        <w:t xml:space="preserve"> AMFL-ja </w:t>
      </w:r>
      <w:proofErr w:type="spellStart"/>
      <w:r>
        <w:rPr>
          <w:rFonts w:ascii="Garamond" w:eastAsia="Garamond" w:hAnsi="Garamond"/>
          <w:sz w:val="24"/>
        </w:rPr>
        <w:t>ka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lëshuar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miratimin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paraprak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importin</w:t>
      </w:r>
      <w:proofErr w:type="spellEnd"/>
      <w:r>
        <w:rPr>
          <w:rFonts w:ascii="Garamond" w:eastAsia="Garamond" w:hAnsi="Garamond"/>
          <w:sz w:val="24"/>
        </w:rPr>
        <w:t>.</w:t>
      </w:r>
    </w:p>
    <w:p w:rsidR="002933C3" w:rsidRDefault="002933C3" w:rsidP="002933C3">
      <w:pPr>
        <w:spacing w:line="162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162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0" w:lineRule="atLeast"/>
        <w:ind w:left="182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KREU IV</w:t>
      </w:r>
    </w:p>
    <w:p w:rsidR="002933C3" w:rsidRDefault="002933C3" w:rsidP="002933C3">
      <w:pPr>
        <w:spacing w:line="1" w:lineRule="exact"/>
        <w:rPr>
          <w:rFonts w:ascii="Times New Roman" w:eastAsia="Times New Roman" w:hAnsi="Times New Roman"/>
        </w:rPr>
      </w:pPr>
    </w:p>
    <w:p w:rsidR="002933C3" w:rsidRPr="00CD05AD" w:rsidRDefault="002933C3" w:rsidP="002933C3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KUFIZIMI NGA DPD I IMPORTEVE TË</w:t>
      </w:r>
      <w:r>
        <w:rPr>
          <w:rFonts w:ascii="Garamond" w:eastAsia="Garamond" w:hAnsi="Garamond"/>
          <w:sz w:val="23"/>
        </w:rPr>
        <w:t>MJETEVE PËR LOJËRA FATI, TË PAMIRATUARA NGA AMFL-ja</w:t>
      </w:r>
    </w:p>
    <w:p w:rsidR="002933C3" w:rsidRDefault="002933C3" w:rsidP="002933C3">
      <w:pPr>
        <w:spacing w:line="138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numPr>
          <w:ilvl w:val="0"/>
          <w:numId w:val="7"/>
        </w:numPr>
        <w:tabs>
          <w:tab w:val="left" w:pos="540"/>
        </w:tabs>
        <w:spacing w:line="239" w:lineRule="auto"/>
        <w:ind w:right="20"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Drejtoria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përgjegjëse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klasifikimin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tarifor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pranë</w:t>
      </w:r>
      <w:proofErr w:type="spellEnd"/>
      <w:r>
        <w:rPr>
          <w:rFonts w:ascii="Garamond" w:eastAsia="Garamond" w:hAnsi="Garamond"/>
          <w:sz w:val="24"/>
        </w:rPr>
        <w:t xml:space="preserve"> DPD-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bashkëpunim</w:t>
      </w:r>
      <w:proofErr w:type="spellEnd"/>
      <w:r>
        <w:rPr>
          <w:rFonts w:ascii="Garamond" w:eastAsia="Garamond" w:hAnsi="Garamond"/>
          <w:sz w:val="24"/>
        </w:rPr>
        <w:t xml:space="preserve"> me </w:t>
      </w:r>
      <w:proofErr w:type="spellStart"/>
      <w:r>
        <w:rPr>
          <w:rFonts w:ascii="Garamond" w:eastAsia="Garamond" w:hAnsi="Garamond"/>
          <w:sz w:val="24"/>
        </w:rPr>
        <w:t>strukturën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përgjegjëse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pranë</w:t>
      </w:r>
      <w:proofErr w:type="spellEnd"/>
      <w:r>
        <w:rPr>
          <w:rFonts w:ascii="Garamond" w:eastAsia="Garamond" w:hAnsi="Garamond"/>
          <w:sz w:val="24"/>
        </w:rPr>
        <w:t xml:space="preserve"> AMFL-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duhet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krijojë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listën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kodeve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nivel</w:t>
      </w:r>
      <w:proofErr w:type="spellEnd"/>
      <w:r>
        <w:rPr>
          <w:rFonts w:ascii="Garamond" w:eastAsia="Garamond" w:hAnsi="Garamond"/>
          <w:sz w:val="24"/>
        </w:rPr>
        <w:t xml:space="preserve"> 11-shifror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mjeteve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</w:t>
      </w:r>
      <w:proofErr w:type="spellEnd"/>
      <w:r>
        <w:rPr>
          <w:rFonts w:ascii="Garamond" w:eastAsia="Garamond" w:hAnsi="Garamond"/>
          <w:sz w:val="24"/>
        </w:rPr>
        <w:t xml:space="preserve">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cilat</w:t>
      </w:r>
      <w:proofErr w:type="spellEnd"/>
      <w:r>
        <w:rPr>
          <w:rFonts w:ascii="Garamond" w:eastAsia="Garamond" w:hAnsi="Garamond"/>
          <w:sz w:val="24"/>
        </w:rPr>
        <w:t xml:space="preserve"> do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jenë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kode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detyrueshme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deklarimin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import-</w:t>
      </w:r>
      <w:proofErr w:type="spellStart"/>
      <w:r>
        <w:rPr>
          <w:rFonts w:ascii="Garamond" w:eastAsia="Garamond" w:hAnsi="Garamond"/>
          <w:sz w:val="24"/>
        </w:rPr>
        <w:t>eksport</w:t>
      </w:r>
      <w:proofErr w:type="spellEnd"/>
      <w:r>
        <w:rPr>
          <w:rFonts w:ascii="Garamond" w:eastAsia="Garamond" w:hAnsi="Garamond"/>
          <w:sz w:val="24"/>
        </w:rPr>
        <w:t>.</w:t>
      </w:r>
    </w:p>
    <w:p w:rsidR="002933C3" w:rsidRDefault="002933C3" w:rsidP="002933C3">
      <w:pPr>
        <w:spacing w:line="7" w:lineRule="exact"/>
        <w:rPr>
          <w:rFonts w:ascii="Garamond" w:eastAsia="Garamond" w:hAnsi="Garamond"/>
          <w:sz w:val="24"/>
        </w:rPr>
      </w:pPr>
    </w:p>
    <w:p w:rsidR="002933C3" w:rsidRDefault="002933C3" w:rsidP="002933C3">
      <w:pPr>
        <w:numPr>
          <w:ilvl w:val="0"/>
          <w:numId w:val="7"/>
        </w:numPr>
        <w:tabs>
          <w:tab w:val="left" w:pos="574"/>
        </w:tabs>
        <w:spacing w:line="239" w:lineRule="auto"/>
        <w:ind w:firstLine="276"/>
        <w:jc w:val="both"/>
        <w:rPr>
          <w:rFonts w:ascii="Garamond" w:eastAsia="Garamond" w:hAnsi="Garamond"/>
          <w:sz w:val="24"/>
        </w:rPr>
      </w:pPr>
      <w:proofErr w:type="spellStart"/>
      <w:r>
        <w:rPr>
          <w:rFonts w:ascii="Garamond" w:eastAsia="Garamond" w:hAnsi="Garamond"/>
          <w:sz w:val="24"/>
        </w:rPr>
        <w:t>Kodet</w:t>
      </w:r>
      <w:proofErr w:type="spellEnd"/>
      <w:r>
        <w:rPr>
          <w:rFonts w:ascii="Garamond" w:eastAsia="Garamond" w:hAnsi="Garamond"/>
          <w:sz w:val="24"/>
        </w:rPr>
        <w:t xml:space="preserve"> 11-shifrore </w:t>
      </w:r>
      <w:proofErr w:type="spellStart"/>
      <w:r>
        <w:rPr>
          <w:rFonts w:ascii="Garamond" w:eastAsia="Garamond" w:hAnsi="Garamond"/>
          <w:sz w:val="24"/>
        </w:rPr>
        <w:t>tarifore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mjeteve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aktivizohen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vetëm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rastet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depozitimit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miratimit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paraprak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AMFL-ja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dyja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rastet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deklarimeve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parashikuara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krerët</w:t>
      </w:r>
      <w:proofErr w:type="spellEnd"/>
      <w:r>
        <w:rPr>
          <w:rFonts w:ascii="Garamond" w:eastAsia="Garamond" w:hAnsi="Garamond"/>
          <w:sz w:val="24"/>
        </w:rPr>
        <w:t xml:space="preserve"> II </w:t>
      </w:r>
      <w:proofErr w:type="spellStart"/>
      <w:r>
        <w:rPr>
          <w:rFonts w:ascii="Garamond" w:eastAsia="Garamond" w:hAnsi="Garamond"/>
          <w:sz w:val="24"/>
        </w:rPr>
        <w:t>dhe</w:t>
      </w:r>
      <w:proofErr w:type="spellEnd"/>
      <w:r>
        <w:rPr>
          <w:rFonts w:ascii="Garamond" w:eastAsia="Garamond" w:hAnsi="Garamond"/>
          <w:sz w:val="24"/>
        </w:rPr>
        <w:t xml:space="preserve"> III,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këtij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udhëzimi</w:t>
      </w:r>
      <w:proofErr w:type="spellEnd"/>
      <w:r>
        <w:rPr>
          <w:rFonts w:ascii="Garamond" w:eastAsia="Garamond" w:hAnsi="Garamond"/>
          <w:sz w:val="24"/>
        </w:rPr>
        <w:t>.</w:t>
      </w:r>
    </w:p>
    <w:p w:rsidR="002933C3" w:rsidRDefault="002933C3" w:rsidP="002933C3">
      <w:pPr>
        <w:spacing w:line="4" w:lineRule="exact"/>
        <w:rPr>
          <w:rFonts w:ascii="Garamond" w:eastAsia="Garamond" w:hAnsi="Garamond"/>
          <w:sz w:val="24"/>
        </w:rPr>
      </w:pPr>
    </w:p>
    <w:p w:rsidR="002933C3" w:rsidRDefault="002933C3" w:rsidP="002933C3">
      <w:pPr>
        <w:numPr>
          <w:ilvl w:val="0"/>
          <w:numId w:val="7"/>
        </w:numPr>
        <w:tabs>
          <w:tab w:val="left" w:pos="605"/>
        </w:tabs>
        <w:spacing w:line="239" w:lineRule="auto"/>
        <w:ind w:firstLine="276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 xml:space="preserve">DPD-ja </w:t>
      </w:r>
      <w:proofErr w:type="spellStart"/>
      <w:r>
        <w:rPr>
          <w:rFonts w:ascii="Garamond" w:eastAsia="Garamond" w:hAnsi="Garamond"/>
          <w:sz w:val="24"/>
        </w:rPr>
        <w:t>raporton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periodikisht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çdo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muaj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pranë</w:t>
      </w:r>
      <w:proofErr w:type="spellEnd"/>
      <w:r>
        <w:rPr>
          <w:rFonts w:ascii="Garamond" w:eastAsia="Garamond" w:hAnsi="Garamond"/>
          <w:sz w:val="24"/>
        </w:rPr>
        <w:t xml:space="preserve"> AMFL-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formë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elektronike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importet-eksportet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mjeteve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lojërat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deklaruara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secili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subjekt</w:t>
      </w:r>
      <w:proofErr w:type="spellEnd"/>
      <w:r>
        <w:rPr>
          <w:rFonts w:ascii="Garamond" w:eastAsia="Garamond" w:hAnsi="Garamond"/>
          <w:sz w:val="24"/>
        </w:rPr>
        <w:t>.</w:t>
      </w:r>
    </w:p>
    <w:p w:rsidR="002933C3" w:rsidRDefault="002933C3" w:rsidP="002933C3">
      <w:pPr>
        <w:spacing w:line="4" w:lineRule="exact"/>
        <w:rPr>
          <w:rFonts w:ascii="Garamond" w:eastAsia="Garamond" w:hAnsi="Garamond"/>
          <w:sz w:val="24"/>
        </w:rPr>
      </w:pPr>
    </w:p>
    <w:p w:rsidR="002933C3" w:rsidRDefault="002933C3" w:rsidP="002933C3">
      <w:pPr>
        <w:spacing w:line="250" w:lineRule="auto"/>
        <w:jc w:val="both"/>
        <w:rPr>
          <w:rFonts w:ascii="Garamond" w:eastAsia="Garamond" w:hAnsi="Garamond"/>
          <w:sz w:val="23"/>
        </w:rPr>
      </w:pPr>
      <w:proofErr w:type="spellStart"/>
      <w:r>
        <w:rPr>
          <w:rFonts w:ascii="Garamond" w:eastAsia="Garamond" w:hAnsi="Garamond"/>
          <w:sz w:val="24"/>
        </w:rPr>
        <w:t>Për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zbatimin</w:t>
      </w:r>
      <w:proofErr w:type="spellEnd"/>
      <w:r>
        <w:rPr>
          <w:rFonts w:ascii="Garamond" w:eastAsia="Garamond" w:hAnsi="Garamond"/>
          <w:sz w:val="24"/>
        </w:rPr>
        <w:t xml:space="preserve"> e </w:t>
      </w:r>
      <w:proofErr w:type="spellStart"/>
      <w:r>
        <w:rPr>
          <w:rFonts w:ascii="Garamond" w:eastAsia="Garamond" w:hAnsi="Garamond"/>
          <w:sz w:val="24"/>
        </w:rPr>
        <w:t>këtij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ngarkohet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Autoriteti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i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Mbikëqyrjes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së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Lojërave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të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Fatit</w:t>
      </w:r>
      <w:proofErr w:type="spellEnd"/>
      <w:r>
        <w:rPr>
          <w:rFonts w:ascii="Garamond" w:eastAsia="Garamond" w:hAnsi="Garamond"/>
          <w:sz w:val="24"/>
        </w:rPr>
        <w:t>,</w:t>
      </w:r>
      <w:r w:rsidRPr="00CD05AD"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Drejtoria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Përgjithshme</w:t>
      </w:r>
      <w:proofErr w:type="spellEnd"/>
      <w:r>
        <w:rPr>
          <w:rFonts w:ascii="Garamond" w:eastAsia="Garamond" w:hAnsi="Garamond"/>
          <w:sz w:val="23"/>
        </w:rPr>
        <w:t xml:space="preserve"> e </w:t>
      </w:r>
      <w:proofErr w:type="spellStart"/>
      <w:r>
        <w:rPr>
          <w:rFonts w:ascii="Garamond" w:eastAsia="Garamond" w:hAnsi="Garamond"/>
          <w:sz w:val="23"/>
        </w:rPr>
        <w:t>Doganave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dhe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shoqëritë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që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kërkojnë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importojnë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mjete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lojërave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të</w:t>
      </w:r>
      <w:proofErr w:type="spellEnd"/>
      <w:r>
        <w:rPr>
          <w:rFonts w:ascii="Garamond" w:eastAsia="Garamond" w:hAnsi="Garamond"/>
          <w:sz w:val="23"/>
        </w:rPr>
        <w:t xml:space="preserve"> </w:t>
      </w:r>
      <w:proofErr w:type="spellStart"/>
      <w:r>
        <w:rPr>
          <w:rFonts w:ascii="Garamond" w:eastAsia="Garamond" w:hAnsi="Garamond"/>
          <w:sz w:val="23"/>
        </w:rPr>
        <w:t>fatit</w:t>
      </w:r>
      <w:proofErr w:type="spellEnd"/>
      <w:r>
        <w:rPr>
          <w:rFonts w:ascii="Garamond" w:eastAsia="Garamond" w:hAnsi="Garamond"/>
          <w:sz w:val="23"/>
        </w:rPr>
        <w:t>.</w:t>
      </w:r>
    </w:p>
    <w:p w:rsidR="002933C3" w:rsidRDefault="002933C3" w:rsidP="002933C3">
      <w:pPr>
        <w:spacing w:line="1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0" w:lineRule="atLeast"/>
        <w:ind w:firstLine="283"/>
        <w:jc w:val="both"/>
        <w:rPr>
          <w:rFonts w:ascii="Garamond" w:eastAsia="Garamond" w:hAnsi="Garamond"/>
          <w:sz w:val="24"/>
        </w:rPr>
      </w:pPr>
    </w:p>
    <w:p w:rsidR="002933C3" w:rsidRDefault="002933C3" w:rsidP="002933C3">
      <w:pPr>
        <w:spacing w:line="0" w:lineRule="atLeast"/>
        <w:ind w:firstLine="283"/>
        <w:jc w:val="both"/>
        <w:rPr>
          <w:rFonts w:ascii="Garamond" w:eastAsia="Garamond" w:hAnsi="Garamond"/>
          <w:sz w:val="24"/>
        </w:rPr>
      </w:pPr>
      <w:proofErr w:type="spellStart"/>
      <w:proofErr w:type="gramStart"/>
      <w:r>
        <w:rPr>
          <w:rFonts w:ascii="Garamond" w:eastAsia="Garamond" w:hAnsi="Garamond"/>
          <w:sz w:val="24"/>
        </w:rPr>
        <w:t>Ky</w:t>
      </w:r>
      <w:proofErr w:type="spellEnd"/>
      <w:proofErr w:type="gram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udhëzim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hyn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fuqi</w:t>
      </w:r>
      <w:proofErr w:type="spellEnd"/>
      <w:r>
        <w:rPr>
          <w:rFonts w:ascii="Garamond" w:eastAsia="Garamond" w:hAnsi="Garamond"/>
          <w:sz w:val="24"/>
        </w:rPr>
        <w:t xml:space="preserve"> pas </w:t>
      </w:r>
      <w:proofErr w:type="spellStart"/>
      <w:r>
        <w:rPr>
          <w:rFonts w:ascii="Garamond" w:eastAsia="Garamond" w:hAnsi="Garamond"/>
          <w:sz w:val="24"/>
        </w:rPr>
        <w:t>botimit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në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Fletoren</w:t>
      </w:r>
      <w:proofErr w:type="spellEnd"/>
      <w:r>
        <w:rPr>
          <w:rFonts w:ascii="Garamond" w:eastAsia="Garamond" w:hAnsi="Garamond"/>
          <w:sz w:val="24"/>
        </w:rPr>
        <w:t xml:space="preserve"> </w:t>
      </w:r>
      <w:proofErr w:type="spellStart"/>
      <w:r>
        <w:rPr>
          <w:rFonts w:ascii="Garamond" w:eastAsia="Garamond" w:hAnsi="Garamond"/>
          <w:sz w:val="24"/>
        </w:rPr>
        <w:t>Zyrtare</w:t>
      </w:r>
      <w:proofErr w:type="spellEnd"/>
      <w:r>
        <w:rPr>
          <w:rFonts w:ascii="Garamond" w:eastAsia="Garamond" w:hAnsi="Garamond"/>
          <w:sz w:val="24"/>
        </w:rPr>
        <w:t>.</w:t>
      </w:r>
    </w:p>
    <w:p w:rsidR="002933C3" w:rsidRDefault="002933C3" w:rsidP="002933C3">
      <w:pPr>
        <w:spacing w:line="0" w:lineRule="atLeast"/>
        <w:ind w:left="2020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 xml:space="preserve">                                                                   </w:t>
      </w:r>
    </w:p>
    <w:p w:rsidR="002933C3" w:rsidRDefault="002933C3" w:rsidP="002933C3">
      <w:pPr>
        <w:spacing w:line="0" w:lineRule="atLeast"/>
        <w:ind w:left="2020"/>
        <w:rPr>
          <w:rFonts w:ascii="Garamond" w:eastAsia="Garamond" w:hAnsi="Garamond"/>
          <w:sz w:val="23"/>
        </w:rPr>
      </w:pPr>
    </w:p>
    <w:p w:rsidR="002933C3" w:rsidRDefault="002933C3" w:rsidP="002933C3">
      <w:pPr>
        <w:spacing w:line="0" w:lineRule="atLeast"/>
        <w:ind w:left="2020"/>
        <w:rPr>
          <w:rFonts w:ascii="Garamond" w:eastAsia="Garamond" w:hAnsi="Garamond"/>
          <w:sz w:val="23"/>
        </w:rPr>
      </w:pPr>
      <w:r>
        <w:rPr>
          <w:rFonts w:ascii="Garamond" w:eastAsia="Garamond" w:hAnsi="Garamond"/>
          <w:sz w:val="23"/>
        </w:rPr>
        <w:t xml:space="preserve">                                                                    MINISTRI I FINANCAVE</w:t>
      </w:r>
    </w:p>
    <w:p w:rsidR="002933C3" w:rsidRDefault="002933C3" w:rsidP="002933C3">
      <w:pPr>
        <w:spacing w:line="12" w:lineRule="exact"/>
        <w:rPr>
          <w:rFonts w:ascii="Times New Roman" w:eastAsia="Times New Roman" w:hAnsi="Times New Roman"/>
        </w:rPr>
      </w:pPr>
    </w:p>
    <w:p w:rsidR="002933C3" w:rsidRDefault="002933C3" w:rsidP="002933C3">
      <w:pPr>
        <w:spacing w:line="0" w:lineRule="atLeast"/>
        <w:ind w:left="3120"/>
        <w:rPr>
          <w:rFonts w:ascii="Garamond" w:eastAsia="Garamond" w:hAnsi="Garamond"/>
          <w:b/>
          <w:sz w:val="23"/>
        </w:rPr>
      </w:pPr>
      <w:r>
        <w:rPr>
          <w:rFonts w:ascii="Garamond" w:eastAsia="Garamond" w:hAnsi="Garamond"/>
          <w:b/>
          <w:sz w:val="23"/>
        </w:rPr>
        <w:t xml:space="preserve">                                                       </w:t>
      </w:r>
      <w:proofErr w:type="spellStart"/>
      <w:r>
        <w:rPr>
          <w:rFonts w:ascii="Garamond" w:eastAsia="Garamond" w:hAnsi="Garamond"/>
          <w:b/>
          <w:sz w:val="23"/>
        </w:rPr>
        <w:t>Arben</w:t>
      </w:r>
      <w:proofErr w:type="spellEnd"/>
      <w:r>
        <w:rPr>
          <w:rFonts w:ascii="Garamond" w:eastAsia="Garamond" w:hAnsi="Garamond"/>
          <w:b/>
          <w:sz w:val="23"/>
        </w:rPr>
        <w:t xml:space="preserve"> </w:t>
      </w:r>
      <w:proofErr w:type="spellStart"/>
      <w:r>
        <w:rPr>
          <w:rFonts w:ascii="Garamond" w:eastAsia="Garamond" w:hAnsi="Garamond"/>
          <w:b/>
          <w:sz w:val="23"/>
        </w:rPr>
        <w:t>Ahmetaj</w:t>
      </w:r>
      <w:proofErr w:type="spellEnd"/>
    </w:p>
    <w:p w:rsidR="002933C3" w:rsidRDefault="002933C3" w:rsidP="002933C3">
      <w:pPr>
        <w:spacing w:line="0" w:lineRule="atLeast"/>
        <w:rPr>
          <w:rFonts w:ascii="Times New Roman" w:eastAsia="Times New Roman" w:hAnsi="Times New Roman"/>
          <w:sz w:val="19"/>
        </w:rPr>
        <w:sectPr w:rsidR="002933C3">
          <w:pgSz w:w="11900" w:h="16841"/>
          <w:pgMar w:top="831" w:right="900" w:bottom="574" w:left="880" w:header="0" w:footer="0" w:gutter="0"/>
          <w:cols w:space="0" w:equalWidth="0">
            <w:col w:w="10120"/>
          </w:cols>
          <w:docGrid w:linePitch="360"/>
        </w:sectPr>
      </w:pPr>
    </w:p>
    <w:p w:rsidR="007627A7" w:rsidRDefault="007627A7">
      <w:bookmarkStart w:id="1" w:name="_GoBack"/>
      <w:bookmarkEnd w:id="1"/>
    </w:p>
    <w:sectPr w:rsidR="007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hybridMultilevel"/>
    <w:tmpl w:val="520EED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4F4EF004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0"/>
    <w:multiLevelType w:val="hybridMultilevel"/>
    <w:tmpl w:val="23F9C1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1"/>
    <w:multiLevelType w:val="hybridMultilevel"/>
    <w:tmpl w:val="649BB7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2"/>
    <w:multiLevelType w:val="hybridMultilevel"/>
    <w:tmpl w:val="275AC79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3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C3"/>
    <w:rsid w:val="002933C3"/>
    <w:rsid w:val="0076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6E1D3-95BF-4EA7-9D59-EE9CA892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3C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</cp:revision>
  <dcterms:created xsi:type="dcterms:W3CDTF">2017-01-20T08:14:00Z</dcterms:created>
  <dcterms:modified xsi:type="dcterms:W3CDTF">2017-01-20T08:15:00Z</dcterms:modified>
</cp:coreProperties>
</file>